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2651" w14:textId="2B69ED18" w:rsidR="009250DC" w:rsidRDefault="009250DC" w:rsidP="009250DC">
      <w:pPr>
        <w:pStyle w:val="berschrift1"/>
        <w:ind w:left="360"/>
      </w:pPr>
      <w:r>
        <w:t xml:space="preserve">Prozessablauf </w:t>
      </w:r>
      <w:r w:rsidR="00843C94">
        <w:t xml:space="preserve">Betroffenenrechte </w:t>
      </w:r>
      <w:r>
        <w:rPr>
          <w:lang w:eastAsia="de-AT"/>
        </w:rPr>
        <w:drawing>
          <wp:inline distT="0" distB="0" distL="0" distR="0" wp14:anchorId="0148C851" wp14:editId="2B6E8D0E">
            <wp:extent cx="5553075" cy="3857625"/>
            <wp:effectExtent l="0" t="0" r="28575" b="9525"/>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7C5FA65" w14:textId="77777777" w:rsidR="009250DC" w:rsidRDefault="009250DC" w:rsidP="009250DC">
      <w:pPr>
        <w:rPr>
          <w:lang w:val="de-DE"/>
        </w:rPr>
      </w:pPr>
    </w:p>
    <w:p w14:paraId="1123D008" w14:textId="77777777" w:rsidR="009250DC" w:rsidRDefault="009250DC" w:rsidP="009250DC">
      <w:pPr>
        <w:ind w:left="360"/>
        <w:rPr>
          <w:rFonts w:eastAsia="Cambria"/>
        </w:rPr>
      </w:pPr>
    </w:p>
    <w:p w14:paraId="4CD4FFC1" w14:textId="03095145" w:rsidR="009250DC" w:rsidRDefault="00843C94" w:rsidP="009250DC">
      <w:pPr>
        <w:pStyle w:val="berschrift1"/>
      </w:pPr>
      <w:r>
        <w:t xml:space="preserve">Hinweise zu </w:t>
      </w:r>
      <w:proofErr w:type="spellStart"/>
      <w:r w:rsidR="009250DC">
        <w:t>Betroffenerechte</w:t>
      </w:r>
      <w:proofErr w:type="spellEnd"/>
      <w:r w:rsidR="009250DC">
        <w:t xml:space="preserve"> </w:t>
      </w:r>
    </w:p>
    <w:p w14:paraId="5DA8813A" w14:textId="77777777" w:rsidR="00843C94" w:rsidRPr="00843C94" w:rsidRDefault="00843C94" w:rsidP="00843C94"/>
    <w:p w14:paraId="22647B50" w14:textId="77777777" w:rsidR="009250DC" w:rsidRDefault="009250DC" w:rsidP="00843C94">
      <w:pPr>
        <w:spacing w:line="360" w:lineRule="auto"/>
        <w:rPr>
          <w:b/>
          <w:u w:val="single"/>
        </w:rPr>
      </w:pPr>
      <w:r>
        <w:rPr>
          <w:b/>
          <w:u w:val="single"/>
        </w:rPr>
        <w:t>Was sind Betroffenenrechte?</w:t>
      </w:r>
    </w:p>
    <w:p w14:paraId="03DB6AA2" w14:textId="77777777" w:rsidR="009250DC" w:rsidRDefault="009250DC" w:rsidP="00843C94">
      <w:pPr>
        <w:spacing w:line="360" w:lineRule="auto"/>
      </w:pPr>
      <w:r>
        <w:t>Betroffenenrechte sind, wie der Name schon sagt, Rechte der von einer Datenanwendung betroffenen Person (= Betroffener) gegenüber dem Verantwortlichen. Sie kann sich damit z.B. gegen unrichtige oder unvollständige Datensätze zur Wehr setzen oder verlangen, dass Daten wieder gelöscht werden.</w:t>
      </w:r>
    </w:p>
    <w:p w14:paraId="13966FAB" w14:textId="77777777" w:rsidR="009250DC" w:rsidRDefault="009250DC" w:rsidP="00843C94">
      <w:pPr>
        <w:spacing w:line="360" w:lineRule="auto"/>
        <w:rPr>
          <w:b/>
          <w:u w:val="single"/>
        </w:rPr>
      </w:pPr>
      <w:r>
        <w:rPr>
          <w:b/>
          <w:u w:val="single"/>
        </w:rPr>
        <w:t xml:space="preserve">Welche Rechte gibt es? </w:t>
      </w:r>
    </w:p>
    <w:p w14:paraId="0D46AA0C" w14:textId="77777777" w:rsidR="009250DC" w:rsidRDefault="009250DC" w:rsidP="00843C94">
      <w:pPr>
        <w:pStyle w:val="Listenabsatz"/>
        <w:numPr>
          <w:ilvl w:val="0"/>
          <w:numId w:val="13"/>
        </w:numPr>
        <w:spacing w:after="160" w:line="360" w:lineRule="auto"/>
      </w:pPr>
      <w:r>
        <w:t>Informationspflicht bei Erhebung von personenbezogenen Daten bei der betroffenen Person</w:t>
      </w:r>
    </w:p>
    <w:p w14:paraId="6AF6474D" w14:textId="77777777" w:rsidR="009250DC" w:rsidRDefault="009250DC" w:rsidP="00843C94">
      <w:pPr>
        <w:pStyle w:val="Listenabsatz"/>
        <w:numPr>
          <w:ilvl w:val="0"/>
          <w:numId w:val="13"/>
        </w:numPr>
        <w:spacing w:after="160" w:line="360" w:lineRule="auto"/>
      </w:pPr>
      <w:r>
        <w:t>Informationspflicht, wenn die personenbezogenen Daten nicht bei der betroffenen Person erhoben wurden</w:t>
      </w:r>
    </w:p>
    <w:p w14:paraId="051A56FA" w14:textId="77777777" w:rsidR="009250DC" w:rsidRDefault="009250DC" w:rsidP="00843C94">
      <w:pPr>
        <w:pStyle w:val="Listenabsatz"/>
        <w:numPr>
          <w:ilvl w:val="0"/>
          <w:numId w:val="13"/>
        </w:numPr>
        <w:spacing w:after="160" w:line="360" w:lineRule="auto"/>
      </w:pPr>
      <w:r>
        <w:t>Auskunftsrecht</w:t>
      </w:r>
    </w:p>
    <w:p w14:paraId="5E876DFD" w14:textId="77777777" w:rsidR="009250DC" w:rsidRDefault="009250DC" w:rsidP="00843C94">
      <w:pPr>
        <w:pStyle w:val="Listenabsatz"/>
        <w:numPr>
          <w:ilvl w:val="0"/>
          <w:numId w:val="13"/>
        </w:numPr>
        <w:spacing w:after="160" w:line="360" w:lineRule="auto"/>
      </w:pPr>
      <w:r>
        <w:t>Recht auf Berichtigung</w:t>
      </w:r>
    </w:p>
    <w:p w14:paraId="0C937375" w14:textId="77777777" w:rsidR="009250DC" w:rsidRDefault="009250DC" w:rsidP="00843C94">
      <w:pPr>
        <w:pStyle w:val="Listenabsatz"/>
        <w:numPr>
          <w:ilvl w:val="0"/>
          <w:numId w:val="13"/>
        </w:numPr>
        <w:spacing w:after="160" w:line="360" w:lineRule="auto"/>
      </w:pPr>
      <w:r>
        <w:lastRenderedPageBreak/>
        <w:t>Recht auf Löschung ("Recht auf Vergessenwerden")</w:t>
      </w:r>
    </w:p>
    <w:p w14:paraId="0FC0FC3D" w14:textId="77777777" w:rsidR="009250DC" w:rsidRDefault="009250DC" w:rsidP="00843C94">
      <w:pPr>
        <w:pStyle w:val="Listenabsatz"/>
        <w:numPr>
          <w:ilvl w:val="0"/>
          <w:numId w:val="13"/>
        </w:numPr>
        <w:spacing w:after="160" w:line="360" w:lineRule="auto"/>
      </w:pPr>
      <w:r>
        <w:t>Recht auf Einschränkung der Verarbeitung</w:t>
      </w:r>
    </w:p>
    <w:p w14:paraId="7999747E" w14:textId="77777777" w:rsidR="009250DC" w:rsidRDefault="009250DC" w:rsidP="00843C94">
      <w:pPr>
        <w:pStyle w:val="Listenabsatz"/>
        <w:numPr>
          <w:ilvl w:val="0"/>
          <w:numId w:val="13"/>
        </w:numPr>
        <w:spacing w:after="160" w:line="360" w:lineRule="auto"/>
      </w:pPr>
      <w:r>
        <w:t>Recht auf Datenübertragbarkeit</w:t>
      </w:r>
    </w:p>
    <w:p w14:paraId="0F16F8CB" w14:textId="77777777" w:rsidR="009250DC" w:rsidRDefault="009250DC" w:rsidP="00843C94">
      <w:pPr>
        <w:pStyle w:val="Listenabsatz"/>
        <w:numPr>
          <w:ilvl w:val="0"/>
          <w:numId w:val="13"/>
        </w:numPr>
        <w:spacing w:after="160" w:line="360" w:lineRule="auto"/>
      </w:pPr>
      <w:r>
        <w:t>Widerspruchsrecht</w:t>
      </w:r>
    </w:p>
    <w:p w14:paraId="7F533053" w14:textId="77777777" w:rsidR="009250DC" w:rsidRDefault="009250DC" w:rsidP="00843C94">
      <w:pPr>
        <w:spacing w:line="360" w:lineRule="auto"/>
        <w:rPr>
          <w:b/>
          <w:u w:val="single"/>
        </w:rPr>
      </w:pPr>
      <w:r>
        <w:rPr>
          <w:b/>
          <w:u w:val="single"/>
        </w:rPr>
        <w:t xml:space="preserve">Transparente Information, Kommunikation und Modalitäten </w:t>
      </w:r>
    </w:p>
    <w:p w14:paraId="3571E347" w14:textId="77777777" w:rsidR="009250DC" w:rsidRDefault="009250DC" w:rsidP="00843C94">
      <w:pPr>
        <w:spacing w:line="360" w:lineRule="auto"/>
      </w:pPr>
      <w:r>
        <w:t>Der Verantwortliche trifft geeignete Maßnahmen, um der betroffenen Person alle Informationen und alle Mitteilungen in präziser, transparenter, verständlicher und leicht zugänglicher Form in einer klaren und einfachen Sprache zu übermitteln.</w:t>
      </w:r>
    </w:p>
    <w:p w14:paraId="6D28EFD6" w14:textId="77777777" w:rsidR="009250DC" w:rsidRDefault="009250DC" w:rsidP="00843C94">
      <w:pPr>
        <w:spacing w:line="360" w:lineRule="auto"/>
      </w:pPr>
      <w:r>
        <w:t xml:space="preserve">Die Übermittlung der Informationen erfolgt schriftlich, elektronisch oder in einer anderen Form. Stellt die betroffene Person den Antrag elektronisch, so ist sie nach Möglichkeit auf elektronischem Weg zu unterrichten, sofern sie nichts Anderes angibt. Falls von der betroffenen Person verlangt, kann die Information mündlich erteilt werden, sofern die Identität der betroffenen Person in anderer Form nachgewiesen wurde. </w:t>
      </w:r>
    </w:p>
    <w:p w14:paraId="25F0867E" w14:textId="77777777" w:rsidR="009250DC" w:rsidRDefault="009250DC" w:rsidP="00843C94">
      <w:pPr>
        <w:spacing w:line="360" w:lineRule="auto"/>
      </w:pPr>
    </w:p>
    <w:p w14:paraId="17646379" w14:textId="77777777" w:rsidR="009250DC" w:rsidRPr="00F466B2" w:rsidRDefault="009250DC" w:rsidP="00843C94">
      <w:pPr>
        <w:spacing w:line="360" w:lineRule="auto"/>
      </w:pPr>
    </w:p>
    <w:p w14:paraId="4462A8AD" w14:textId="77777777" w:rsidR="009250DC" w:rsidRDefault="009250DC" w:rsidP="00843C94">
      <w:pPr>
        <w:spacing w:line="360" w:lineRule="auto"/>
        <w:rPr>
          <w:b/>
          <w:u w:val="single"/>
        </w:rPr>
      </w:pPr>
      <w:r>
        <w:rPr>
          <w:b/>
          <w:u w:val="single"/>
        </w:rPr>
        <w:t>Identitätsnachweis</w:t>
      </w:r>
    </w:p>
    <w:p w14:paraId="17EDD7E8" w14:textId="77777777" w:rsidR="009250DC" w:rsidRDefault="009250DC" w:rsidP="00843C94">
      <w:pPr>
        <w:spacing w:line="360" w:lineRule="auto"/>
      </w:pPr>
      <w:r>
        <w:t xml:space="preserve">Nach bis 24.5.2018 geltender Rechtslage (DSG 2000) ist es notwendig, dass der Betroffene seine Identität mit entsprechendem Nachweis (Ausweiskopie) bereits bei der Anfrage offengelegt hat. Nach der DSGVO muss die betroffene Person das nur, wenn der Verantwortliche begründete Zweifel an seiner Identität hat (z.B. telefonische Anfrage oder über eine Fantasiemailadresse). In diesem Fall kann der Verantwortliche zusätzliche Informationen anfordern, die zur Bestätigung der Identität der betroffenen Person erforderlich sind. </w:t>
      </w:r>
    </w:p>
    <w:p w14:paraId="1A8097B4" w14:textId="77777777" w:rsidR="009250DC" w:rsidRDefault="009250DC" w:rsidP="00843C94">
      <w:pPr>
        <w:spacing w:line="360" w:lineRule="auto"/>
        <w:rPr>
          <w:b/>
          <w:u w:val="single"/>
        </w:rPr>
      </w:pPr>
      <w:r>
        <w:rPr>
          <w:b/>
          <w:u w:val="single"/>
        </w:rPr>
        <w:t>Frist</w:t>
      </w:r>
    </w:p>
    <w:p w14:paraId="5248A59D" w14:textId="77777777" w:rsidR="009250DC" w:rsidRDefault="009250DC" w:rsidP="00843C94">
      <w:pPr>
        <w:spacing w:line="360" w:lineRule="auto"/>
      </w:pPr>
      <w:r>
        <w:t xml:space="preserve">Informationen (Informationspflicht) sind den Betroffenen zum Zeitpunkt der Erhebung der Daten, wenn diese bei dem Betroffenen direkt erhoben werden, zur Verfügung zu stellen. Werden Daten nicht beim Betroffenen selbst erhoben, erteilt der Verantwortliche die Informationen innerhalb einer angemessenen Frist nach Erlangung der personenbezogenen Daten, spätestens innerhalb eines Monats. Falls die personenbezogenen Daten zur Kommunikation mit der betroffenen Person verwendet werden sollen, spätestens zum </w:t>
      </w:r>
      <w:r>
        <w:lastRenderedPageBreak/>
        <w:t xml:space="preserve">Zeitpunkt der ersten Mitteilung an die Person, oder falls die Offenlegung an einen anderen Empfänger beabsichtigt ist, spätestens zum Zeitpunkt der ersten Offenlegung. </w:t>
      </w:r>
    </w:p>
    <w:p w14:paraId="48064DFA" w14:textId="77777777" w:rsidR="009250DC" w:rsidRDefault="009250DC" w:rsidP="00843C94">
      <w:pPr>
        <w:spacing w:line="360" w:lineRule="auto"/>
      </w:pPr>
      <w:r>
        <w:t>Alle weiteren Anfragen durch Betroffene (Auskunftsrecht, Recht auf Berichtigung, Recht auf Löschung, Recht auf Einschränkung der Verarbeitung, Recht auf Datenübertragbarkeit, Widerspruchsrecht) müssen vom Verantwortlichen unverzüglich, jedenfalls innerhalb eines Monats nach Eingang der Anfrage beantwortet werden. Diese Frist kann um weitere zwei Monate verlängert werden (die Frist kann daher insgesamt drei Monate betragen), wenn dies unter Berücksichtigung der Komplexität und der Anzahl von Anträgen erforderlich ist.</w:t>
      </w:r>
    </w:p>
    <w:p w14:paraId="34EA56C6" w14:textId="77777777" w:rsidR="009250DC" w:rsidRDefault="009250DC" w:rsidP="00843C94">
      <w:pPr>
        <w:spacing w:line="360" w:lineRule="auto"/>
      </w:pPr>
      <w:r>
        <w:t xml:space="preserve">Der Verantwortliche stellt der betroffenen Person Informationen unverzüglich, jedenfalls innerhalb eines Monats nach Eingang der Anfrage zur Verfügung. Diese Frist kann um weitere zwei Monate verlängert werden (die Frist kann daher insgesamt drei Monate betragen), wenn dies unter Berücksichtigung der Komplexität und der Anzahl von Anträgen erforderlich ist. </w:t>
      </w:r>
    </w:p>
    <w:p w14:paraId="1D0FB370" w14:textId="77777777" w:rsidR="009250DC" w:rsidRDefault="009250DC" w:rsidP="00843C94">
      <w:pPr>
        <w:spacing w:line="360" w:lineRule="auto"/>
      </w:pPr>
      <w:r>
        <w:t xml:space="preserve">Der Verantwortliche muss die betroffene Person aber innerhalb eines Monats nach Eingang der Anfrage über eine Fristverlängerung unterrichten, </w:t>
      </w:r>
      <w:proofErr w:type="gramStart"/>
      <w:r>
        <w:t>das</w:t>
      </w:r>
      <w:proofErr w:type="gramEnd"/>
      <w:r>
        <w:t xml:space="preserve"> zusammen mit den Gründen für die Verzögerung. </w:t>
      </w:r>
    </w:p>
    <w:p w14:paraId="7E638A6E" w14:textId="77777777" w:rsidR="009250DC" w:rsidRDefault="009250DC" w:rsidP="00843C94">
      <w:pPr>
        <w:spacing w:line="360" w:lineRule="auto"/>
      </w:pPr>
      <w:r>
        <w:t xml:space="preserve">Wird der Verantwortliche auf den Antrag der betroffenen Person hin nicht tätig, muss er ebenso die betroffene Person ohne Verzögerung informieren, spätestens aber innerhalb eines Monats nach Eingang der Anfrage über die Gründe für das Nicht-Tätigwerden und über die Möglichkeit, bei einer Aufsichtsbehörde Beschwerde einzulegen oder einen gerichtlichen Rechtsbehelf einzulegen. </w:t>
      </w:r>
    </w:p>
    <w:p w14:paraId="4BC28762" w14:textId="77777777" w:rsidR="009250DC" w:rsidRDefault="009250DC" w:rsidP="00843C94">
      <w:pPr>
        <w:spacing w:line="360" w:lineRule="auto"/>
        <w:rPr>
          <w:b/>
          <w:u w:val="single"/>
        </w:rPr>
      </w:pPr>
      <w:r>
        <w:rPr>
          <w:b/>
          <w:u w:val="single"/>
        </w:rPr>
        <w:t>Unentgeltlichkeit</w:t>
      </w:r>
    </w:p>
    <w:p w14:paraId="00D0AA53" w14:textId="77777777" w:rsidR="009250DC" w:rsidRDefault="009250DC" w:rsidP="00843C94">
      <w:pPr>
        <w:spacing w:line="360" w:lineRule="auto"/>
      </w:pPr>
      <w:r>
        <w:t>Informationen und alle Mitteilungen und Maßnahmen sind unentgeltlich zur Verfügung zu stellen. Bei offenkundig unbegründeten oder exzessiven Anträgen (</w:t>
      </w:r>
      <w:proofErr w:type="gramStart"/>
      <w:r>
        <w:t>z.B.</w:t>
      </w:r>
      <w:proofErr w:type="gramEnd"/>
      <w:r>
        <w:t xml:space="preserve"> wenn die Anfrage häufig wiederholt wird) einer betroffenen Person kann der Verantwortliche entweder </w:t>
      </w:r>
    </w:p>
    <w:p w14:paraId="6022DEF5" w14:textId="77777777" w:rsidR="009250DC" w:rsidRDefault="009250DC" w:rsidP="00843C94">
      <w:pPr>
        <w:spacing w:line="360" w:lineRule="auto"/>
      </w:pPr>
      <w:r>
        <w:t>ein angemessenes Entgelt verlangen, bei dem die Verwaltungskosten für die Unterrichtung oder die Mitteilung oder die Durchführung der beantragten Maßnahme berücksichtigt werden, oder</w:t>
      </w:r>
    </w:p>
    <w:p w14:paraId="34D04EAC" w14:textId="77777777" w:rsidR="009250DC" w:rsidRDefault="009250DC" w:rsidP="00843C94">
      <w:pPr>
        <w:spacing w:line="360" w:lineRule="auto"/>
      </w:pPr>
      <w:r>
        <w:t>sich weigern, aufgrund des Antrags tätig zu werden.</w:t>
      </w:r>
    </w:p>
    <w:p w14:paraId="70BB18AE" w14:textId="19B973E2" w:rsidR="00DF122F" w:rsidRPr="009250DC" w:rsidRDefault="009250DC" w:rsidP="00843C94">
      <w:pPr>
        <w:spacing w:line="360" w:lineRule="auto"/>
      </w:pPr>
      <w:r>
        <w:t>Ob die Anfrage des Betroffenen tatsächlich offenkundig unbegründet oder exzessiv war, hat der für die Verarbeitung Verantwortliche zu beweisen.</w:t>
      </w:r>
      <w:bookmarkStart w:id="0" w:name="_GoBack"/>
      <w:bookmarkEnd w:id="0"/>
    </w:p>
    <w:sectPr w:rsidR="00DF122F" w:rsidRPr="009250DC" w:rsidSect="005C3182">
      <w:headerReference w:type="default" r:id="rId13"/>
      <w:footerReference w:type="default" r:id="rId14"/>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681C3" w14:textId="77777777" w:rsidR="00DC7B4F" w:rsidRDefault="00DC7B4F" w:rsidP="003F3832">
      <w:r>
        <w:separator/>
      </w:r>
    </w:p>
  </w:endnote>
  <w:endnote w:type="continuationSeparator" w:id="0">
    <w:p w14:paraId="5807AB77" w14:textId="77777777" w:rsidR="00DC7B4F" w:rsidRDefault="00DC7B4F"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24CE" w14:textId="77777777" w:rsidR="00DC7B4F" w:rsidRDefault="00DC7B4F" w:rsidP="003F3832">
      <w:r>
        <w:separator/>
      </w:r>
    </w:p>
  </w:footnote>
  <w:footnote w:type="continuationSeparator" w:id="0">
    <w:p w14:paraId="21C09B4C" w14:textId="77777777" w:rsidR="00DC7B4F" w:rsidRDefault="00DC7B4F"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1F6802CC" w14:textId="01E7F8AA" w:rsidR="003F3832" w:rsidRDefault="009250DC" w:rsidP="003F3832">
    <w:pPr>
      <w:pStyle w:val="Kopfzeile"/>
      <w:jc w:val="both"/>
    </w:pPr>
    <w:r>
      <w:t>Prozessablauf Betroffenenrechte</w:t>
    </w:r>
  </w:p>
  <w:p w14:paraId="06A0C91F" w14:textId="0D9DCF79" w:rsidR="003F3832" w:rsidRDefault="003F3832" w:rsidP="003F3832">
    <w:pPr>
      <w:pStyle w:val="Kopfzeile"/>
      <w:jc w:val="both"/>
    </w:pP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7913D8"/>
    <w:multiLevelType w:val="hybridMultilevel"/>
    <w:tmpl w:val="F59AC4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301F5B32"/>
    <w:multiLevelType w:val="hybridMultilevel"/>
    <w:tmpl w:val="8A461596"/>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EB4D7F"/>
    <w:multiLevelType w:val="hybridMultilevel"/>
    <w:tmpl w:val="6EE0FC02"/>
    <w:lvl w:ilvl="0" w:tplc="E7E25C04">
      <w:start w:val="1"/>
      <w:numFmt w:val="lowerLetter"/>
      <w:lvlText w:val="%1."/>
      <w:lvlJc w:val="left"/>
      <w:pPr>
        <w:ind w:left="1069" w:hanging="360"/>
      </w:pPr>
      <w:rPr>
        <w:rFonts w:hint="default"/>
        <w:b/>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9" w15:restartNumberingAfterBreak="0">
    <w:nsid w:val="51752941"/>
    <w:multiLevelType w:val="hybridMultilevel"/>
    <w:tmpl w:val="F8128A2C"/>
    <w:lvl w:ilvl="0" w:tplc="B568C4AE">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0"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2"/>
  </w:num>
  <w:num w:numId="5">
    <w:abstractNumId w:val="7"/>
  </w:num>
  <w:num w:numId="6">
    <w:abstractNumId w:val="0"/>
  </w:num>
  <w:num w:numId="7">
    <w:abstractNumId w:val="11"/>
  </w:num>
  <w:num w:numId="8">
    <w:abstractNumId w:val="1"/>
  </w:num>
  <w:num w:numId="9">
    <w:abstractNumId w:val="10"/>
  </w:num>
  <w:num w:numId="10">
    <w:abstractNumId w:val="6"/>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57CD9"/>
    <w:rsid w:val="002B0DE4"/>
    <w:rsid w:val="003F3832"/>
    <w:rsid w:val="005B78E2"/>
    <w:rsid w:val="005C3182"/>
    <w:rsid w:val="005D690C"/>
    <w:rsid w:val="006E09E1"/>
    <w:rsid w:val="007B4572"/>
    <w:rsid w:val="00843C94"/>
    <w:rsid w:val="00864984"/>
    <w:rsid w:val="008C31F4"/>
    <w:rsid w:val="009250DC"/>
    <w:rsid w:val="00A05281"/>
    <w:rsid w:val="00A10CC3"/>
    <w:rsid w:val="00AC2A8B"/>
    <w:rsid w:val="00B26B41"/>
    <w:rsid w:val="00B31DDB"/>
    <w:rsid w:val="00BE2930"/>
    <w:rsid w:val="00CF5FDC"/>
    <w:rsid w:val="00DC7B4F"/>
    <w:rsid w:val="00DF122F"/>
    <w:rsid w:val="00EE09F7"/>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5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Funotentext">
    <w:name w:val="footnote text"/>
    <w:basedOn w:val="Standard"/>
    <w:link w:val="FunotentextZchn"/>
    <w:rsid w:val="00DF122F"/>
    <w:pPr>
      <w:spacing w:line="280" w:lineRule="atLeast"/>
    </w:pPr>
    <w:rPr>
      <w:rFonts w:ascii="Trebuchet MS" w:eastAsia="Times New Roman" w:hAnsi="Trebuchet MS" w:cs="Times New Roman"/>
      <w:sz w:val="18"/>
      <w:szCs w:val="20"/>
      <w:lang w:val="de-DE" w:eastAsia="de-DE"/>
    </w:rPr>
  </w:style>
  <w:style w:type="character" w:customStyle="1" w:styleId="FunotentextZchn">
    <w:name w:val="Fußnotentext Zchn"/>
    <w:basedOn w:val="Absatz-Standardschriftart"/>
    <w:link w:val="Funotentext"/>
    <w:rsid w:val="00DF122F"/>
    <w:rPr>
      <w:rFonts w:ascii="Trebuchet MS" w:eastAsia="Times New Roman" w:hAnsi="Trebuchet MS" w:cs="Times New Roman"/>
      <w:sz w:val="18"/>
      <w:szCs w:val="20"/>
      <w:lang w:val="de-DE" w:eastAsia="de-DE"/>
    </w:rPr>
  </w:style>
  <w:style w:type="character" w:styleId="Funotenzeichen">
    <w:name w:val="footnote reference"/>
    <w:basedOn w:val="Absatz-Standardschriftart"/>
    <w:uiPriority w:val="99"/>
    <w:rsid w:val="00DF1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 w:id="1600335241">
      <w:bodyDiv w:val="1"/>
      <w:marLeft w:val="0"/>
      <w:marRight w:val="0"/>
      <w:marTop w:val="0"/>
      <w:marBottom w:val="0"/>
      <w:divBdr>
        <w:top w:val="none" w:sz="0" w:space="0" w:color="auto"/>
        <w:left w:val="none" w:sz="0" w:space="0" w:color="auto"/>
        <w:bottom w:val="none" w:sz="0" w:space="0" w:color="auto"/>
        <w:right w:val="none" w:sz="0" w:space="0" w:color="auto"/>
      </w:divBdr>
      <w:divsChild>
        <w:div w:id="2019038274">
          <w:marLeft w:val="547"/>
          <w:marRight w:val="0"/>
          <w:marTop w:val="0"/>
          <w:marBottom w:val="0"/>
          <w:divBdr>
            <w:top w:val="none" w:sz="0" w:space="0" w:color="auto"/>
            <w:left w:val="none" w:sz="0" w:space="0" w:color="auto"/>
            <w:bottom w:val="none" w:sz="0" w:space="0" w:color="auto"/>
            <w:right w:val="none" w:sz="0" w:space="0" w:color="auto"/>
          </w:divBdr>
        </w:div>
        <w:div w:id="91705435">
          <w:marLeft w:val="1166"/>
          <w:marRight w:val="0"/>
          <w:marTop w:val="0"/>
          <w:marBottom w:val="0"/>
          <w:divBdr>
            <w:top w:val="none" w:sz="0" w:space="0" w:color="auto"/>
            <w:left w:val="none" w:sz="0" w:space="0" w:color="auto"/>
            <w:bottom w:val="none" w:sz="0" w:space="0" w:color="auto"/>
            <w:right w:val="none" w:sz="0" w:space="0" w:color="auto"/>
          </w:divBdr>
        </w:div>
        <w:div w:id="542138883">
          <w:marLeft w:val="1166"/>
          <w:marRight w:val="0"/>
          <w:marTop w:val="0"/>
          <w:marBottom w:val="0"/>
          <w:divBdr>
            <w:top w:val="none" w:sz="0" w:space="0" w:color="auto"/>
            <w:left w:val="none" w:sz="0" w:space="0" w:color="auto"/>
            <w:bottom w:val="none" w:sz="0" w:space="0" w:color="auto"/>
            <w:right w:val="none" w:sz="0" w:space="0" w:color="auto"/>
          </w:divBdr>
        </w:div>
        <w:div w:id="32186133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ACC428-A8AB-45F8-8A1F-988773F35979}" type="doc">
      <dgm:prSet loTypeId="urn:microsoft.com/office/officeart/2009/layout/CircleArrowProcess" loCatId="process" qsTypeId="urn:microsoft.com/office/officeart/2005/8/quickstyle/simple1" qsCatId="simple" csTypeId="urn:microsoft.com/office/officeart/2005/8/colors/colorful1" csCatId="colorful" phldr="1"/>
      <dgm:spPr/>
      <dgm:t>
        <a:bodyPr/>
        <a:lstStyle/>
        <a:p>
          <a:endParaRPr lang="de-AT"/>
        </a:p>
      </dgm:t>
    </dgm:pt>
    <dgm:pt modelId="{5F0C6AFC-2A54-4335-BC67-3A39CA69D286}">
      <dgm:prSet phldrT="[Text]"/>
      <dgm:spPr/>
      <dgm:t>
        <a:bodyPr/>
        <a:lstStyle/>
        <a:p>
          <a:pPr>
            <a:buNone/>
          </a:pPr>
          <a:r>
            <a:rPr lang="de-AT"/>
            <a:t>Auskunftsrecht</a:t>
          </a:r>
        </a:p>
      </dgm:t>
    </dgm:pt>
    <dgm:pt modelId="{B7826EA0-53E7-466D-9DA4-CDC59202C83B}" type="parTrans" cxnId="{AAA37772-AF19-4229-A119-0B8F2DF91879}">
      <dgm:prSet/>
      <dgm:spPr/>
      <dgm:t>
        <a:bodyPr/>
        <a:lstStyle/>
        <a:p>
          <a:endParaRPr lang="de-AT"/>
        </a:p>
      </dgm:t>
    </dgm:pt>
    <dgm:pt modelId="{24D145C6-8B13-4F77-A266-596CFA6E2A91}" type="sibTrans" cxnId="{AAA37772-AF19-4229-A119-0B8F2DF91879}">
      <dgm:prSet/>
      <dgm:spPr/>
      <dgm:t>
        <a:bodyPr/>
        <a:lstStyle/>
        <a:p>
          <a:endParaRPr lang="de-AT"/>
        </a:p>
      </dgm:t>
    </dgm:pt>
    <dgm:pt modelId="{D40850D9-5A88-4A5D-8CBF-576C1A9D3C6A}">
      <dgm:prSet phldrT="[Text]"/>
      <dgm:spPr/>
      <dgm:t>
        <a:bodyPr/>
        <a:lstStyle/>
        <a:p>
          <a:r>
            <a:rPr lang="de-AT"/>
            <a:t>Recht auf Berichtigung</a:t>
          </a:r>
        </a:p>
      </dgm:t>
    </dgm:pt>
    <dgm:pt modelId="{BBBFB04D-DBEE-4733-8D9B-D762E71656FE}" type="parTrans" cxnId="{5C83D804-73B8-4B72-A660-B342AF071A0A}">
      <dgm:prSet/>
      <dgm:spPr/>
      <dgm:t>
        <a:bodyPr/>
        <a:lstStyle/>
        <a:p>
          <a:endParaRPr lang="de-AT"/>
        </a:p>
      </dgm:t>
    </dgm:pt>
    <dgm:pt modelId="{9D5DB157-9F50-48B9-B105-6B862412BE22}" type="sibTrans" cxnId="{5C83D804-73B8-4B72-A660-B342AF071A0A}">
      <dgm:prSet/>
      <dgm:spPr/>
      <dgm:t>
        <a:bodyPr/>
        <a:lstStyle/>
        <a:p>
          <a:endParaRPr lang="de-AT"/>
        </a:p>
      </dgm:t>
    </dgm:pt>
    <dgm:pt modelId="{D25517DD-067E-4EB0-91C1-339B9953E839}">
      <dgm:prSet phldrT="[Text]"/>
      <dgm:spPr/>
      <dgm:t>
        <a:bodyPr/>
        <a:lstStyle/>
        <a:p>
          <a:r>
            <a:rPr lang="de-AT"/>
            <a:t>Recht auf Löschung</a:t>
          </a:r>
        </a:p>
      </dgm:t>
    </dgm:pt>
    <dgm:pt modelId="{67CA520A-1D48-477B-B978-A2E79D2460BD}" type="parTrans" cxnId="{26DEE836-0A6C-4A72-B7B5-4B83E63203B8}">
      <dgm:prSet/>
      <dgm:spPr/>
      <dgm:t>
        <a:bodyPr/>
        <a:lstStyle/>
        <a:p>
          <a:endParaRPr lang="de-AT"/>
        </a:p>
      </dgm:t>
    </dgm:pt>
    <dgm:pt modelId="{7BDF3B06-458F-4E6A-B0B8-1BE8ACCD1959}" type="sibTrans" cxnId="{26DEE836-0A6C-4A72-B7B5-4B83E63203B8}">
      <dgm:prSet/>
      <dgm:spPr/>
      <dgm:t>
        <a:bodyPr/>
        <a:lstStyle/>
        <a:p>
          <a:endParaRPr lang="de-AT"/>
        </a:p>
      </dgm:t>
    </dgm:pt>
    <dgm:pt modelId="{30E49448-950F-4122-B27D-6EB45DC06144}">
      <dgm:prSet phldrT="[Text]"/>
      <dgm:spPr/>
      <dgm:t>
        <a:bodyPr/>
        <a:lstStyle/>
        <a:p>
          <a:r>
            <a:rPr lang="de-AT" b="0">
              <a:solidFill>
                <a:schemeClr val="accent2">
                  <a:lumMod val="75000"/>
                </a:schemeClr>
              </a:solidFill>
            </a:rPr>
            <a:t>Auskunftsanfrage</a:t>
          </a:r>
        </a:p>
      </dgm:t>
    </dgm:pt>
    <dgm:pt modelId="{8389CC09-6EAC-4D17-AE82-8448897200C5}" type="parTrans" cxnId="{08DB7A38-8D6C-45BE-BDDD-6AE1D8AE1CD9}">
      <dgm:prSet/>
      <dgm:spPr/>
      <dgm:t>
        <a:bodyPr/>
        <a:lstStyle/>
        <a:p>
          <a:endParaRPr lang="de-AT"/>
        </a:p>
      </dgm:t>
    </dgm:pt>
    <dgm:pt modelId="{16C33E82-0DAC-450A-BA1E-7475A274EB6D}" type="sibTrans" cxnId="{08DB7A38-8D6C-45BE-BDDD-6AE1D8AE1CD9}">
      <dgm:prSet/>
      <dgm:spPr/>
      <dgm:t>
        <a:bodyPr/>
        <a:lstStyle/>
        <a:p>
          <a:endParaRPr lang="de-AT"/>
        </a:p>
      </dgm:t>
    </dgm:pt>
    <dgm:pt modelId="{D28B87EC-8B2F-4010-974F-735E735584DD}">
      <dgm:prSet phldrT="[Text]"/>
      <dgm:spPr/>
      <dgm:t>
        <a:bodyPr/>
        <a:lstStyle/>
        <a:p>
          <a:r>
            <a:rPr lang="de-AT" u="sng">
              <a:solidFill>
                <a:schemeClr val="bg1">
                  <a:lumMod val="50000"/>
                </a:schemeClr>
              </a:solidFill>
            </a:rPr>
            <a:t>Erteilung der Auskunft</a:t>
          </a:r>
          <a:endParaRPr lang="de-AT">
            <a:solidFill>
              <a:schemeClr val="bg1">
                <a:lumMod val="50000"/>
              </a:schemeClr>
            </a:solidFill>
          </a:endParaRPr>
        </a:p>
      </dgm:t>
    </dgm:pt>
    <dgm:pt modelId="{4AEF5B44-4521-4BAA-86D4-FC03727DCD8D}" type="parTrans" cxnId="{BDA62359-5311-45A7-9FCE-6BC043B0B80D}">
      <dgm:prSet/>
      <dgm:spPr/>
      <dgm:t>
        <a:bodyPr/>
        <a:lstStyle/>
        <a:p>
          <a:endParaRPr lang="de-AT"/>
        </a:p>
      </dgm:t>
    </dgm:pt>
    <dgm:pt modelId="{29A6004B-9CA5-48F1-8418-D91C4CF1BE8B}" type="sibTrans" cxnId="{BDA62359-5311-45A7-9FCE-6BC043B0B80D}">
      <dgm:prSet/>
      <dgm:spPr/>
      <dgm:t>
        <a:bodyPr/>
        <a:lstStyle/>
        <a:p>
          <a:endParaRPr lang="de-AT"/>
        </a:p>
      </dgm:t>
    </dgm:pt>
    <dgm:pt modelId="{5F627C62-56DD-4989-8129-370E4F3931F7}">
      <dgm:prSet phldrT="[Text]"/>
      <dgm:spPr/>
      <dgm:t>
        <a:bodyPr/>
        <a:lstStyle/>
        <a:p>
          <a:r>
            <a:rPr lang="de-AT" u="sng">
              <a:solidFill>
                <a:schemeClr val="bg1">
                  <a:lumMod val="50000"/>
                </a:schemeClr>
              </a:solidFill>
            </a:rPr>
            <a:t>Bestätigung der Berichtigung</a:t>
          </a:r>
          <a:endParaRPr lang="de-AT">
            <a:solidFill>
              <a:schemeClr val="bg1">
                <a:lumMod val="50000"/>
              </a:schemeClr>
            </a:solidFill>
          </a:endParaRPr>
        </a:p>
      </dgm:t>
    </dgm:pt>
    <dgm:pt modelId="{E267512F-B3C0-4269-A696-1D1C067A44CB}" type="parTrans" cxnId="{C3F1CBC5-2D3B-46B2-A112-3628B153A028}">
      <dgm:prSet/>
      <dgm:spPr/>
      <dgm:t>
        <a:bodyPr/>
        <a:lstStyle/>
        <a:p>
          <a:endParaRPr lang="de-AT"/>
        </a:p>
      </dgm:t>
    </dgm:pt>
    <dgm:pt modelId="{37FEF2BA-470C-431D-9C45-01B89E4129C5}" type="sibTrans" cxnId="{C3F1CBC5-2D3B-46B2-A112-3628B153A028}">
      <dgm:prSet/>
      <dgm:spPr/>
      <dgm:t>
        <a:bodyPr/>
        <a:lstStyle/>
        <a:p>
          <a:endParaRPr lang="de-AT"/>
        </a:p>
      </dgm:t>
    </dgm:pt>
    <dgm:pt modelId="{8060C14A-0ABD-43BE-987D-F871C3F9E1BA}">
      <dgm:prSet phldrT="[Text]"/>
      <dgm:spPr/>
      <dgm:t>
        <a:bodyPr/>
        <a:lstStyle/>
        <a:p>
          <a:r>
            <a:rPr lang="de-AT" u="sng">
              <a:solidFill>
                <a:schemeClr val="accent4">
                  <a:lumMod val="75000"/>
                </a:schemeClr>
              </a:solidFill>
            </a:rPr>
            <a:t>Bestätigung der Löschung</a:t>
          </a:r>
          <a:r>
            <a:rPr lang="de-AT">
              <a:solidFill>
                <a:schemeClr val="accent4">
                  <a:lumMod val="75000"/>
                </a:schemeClr>
              </a:solidFill>
            </a:rPr>
            <a:t> </a:t>
          </a:r>
        </a:p>
        <a:p>
          <a:endParaRPr lang="de-AT"/>
        </a:p>
      </dgm:t>
    </dgm:pt>
    <dgm:pt modelId="{A311EFBB-BC8C-445A-850E-72A95C843AB3}" type="parTrans" cxnId="{1F11109B-F2B4-4E74-9C35-F29C71D418F7}">
      <dgm:prSet/>
      <dgm:spPr/>
      <dgm:t>
        <a:bodyPr/>
        <a:lstStyle/>
        <a:p>
          <a:endParaRPr lang="de-AT"/>
        </a:p>
      </dgm:t>
    </dgm:pt>
    <dgm:pt modelId="{E9EF920D-54DD-49D5-A7B8-D5F99DF8CC93}" type="sibTrans" cxnId="{1F11109B-F2B4-4E74-9C35-F29C71D418F7}">
      <dgm:prSet/>
      <dgm:spPr/>
      <dgm:t>
        <a:bodyPr/>
        <a:lstStyle/>
        <a:p>
          <a:endParaRPr lang="de-AT"/>
        </a:p>
      </dgm:t>
    </dgm:pt>
    <dgm:pt modelId="{6EF75693-2C4B-4A4C-B655-CEB1669274F5}">
      <dgm:prSet phldrT="[Text]"/>
      <dgm:spPr/>
      <dgm:t>
        <a:bodyPr/>
        <a:lstStyle/>
        <a:p>
          <a:r>
            <a:rPr lang="de-AT" b="0">
              <a:solidFill>
                <a:schemeClr val="accent2">
                  <a:lumMod val="75000"/>
                </a:schemeClr>
              </a:solidFill>
            </a:rPr>
            <a:t>Überprüfung ob es sich um ein Auskunftsverlangen handelt</a:t>
          </a:r>
        </a:p>
      </dgm:t>
    </dgm:pt>
    <dgm:pt modelId="{3ED0F5D5-C8BC-4E31-B2B2-D07B0A8808D5}" type="parTrans" cxnId="{2650CAAE-61B2-4BD5-822C-E5A64AEA2739}">
      <dgm:prSet/>
      <dgm:spPr/>
      <dgm:t>
        <a:bodyPr/>
        <a:lstStyle/>
        <a:p>
          <a:endParaRPr lang="de-AT"/>
        </a:p>
      </dgm:t>
    </dgm:pt>
    <dgm:pt modelId="{0B1CABBE-18DC-416D-AABF-B76F2EE54456}" type="sibTrans" cxnId="{2650CAAE-61B2-4BD5-822C-E5A64AEA2739}">
      <dgm:prSet/>
      <dgm:spPr/>
      <dgm:t>
        <a:bodyPr/>
        <a:lstStyle/>
        <a:p>
          <a:endParaRPr lang="de-AT"/>
        </a:p>
      </dgm:t>
    </dgm:pt>
    <dgm:pt modelId="{18C93B3D-F207-4AE0-A228-01F818B0A0A8}">
      <dgm:prSet phldrT="[Text]"/>
      <dgm:spPr/>
      <dgm:t>
        <a:bodyPr/>
        <a:lstStyle/>
        <a:p>
          <a:r>
            <a:rPr lang="de-AT" b="0" u="sng">
              <a:solidFill>
                <a:schemeClr val="accent2">
                  <a:lumMod val="75000"/>
                </a:schemeClr>
              </a:solidFill>
            </a:rPr>
            <a:t>Überprüfung der Identität.</a:t>
          </a:r>
          <a:r>
            <a:rPr lang="de-AT" b="0">
              <a:solidFill>
                <a:schemeClr val="accent2">
                  <a:lumMod val="75000"/>
                </a:schemeClr>
              </a:solidFill>
            </a:rPr>
            <a:t> </a:t>
          </a:r>
        </a:p>
      </dgm:t>
    </dgm:pt>
    <dgm:pt modelId="{36FF28DB-CEFA-433C-8485-FED703B7E8C8}" type="parTrans" cxnId="{AA325129-F493-41CE-815F-B90349E1E85F}">
      <dgm:prSet/>
      <dgm:spPr/>
      <dgm:t>
        <a:bodyPr/>
        <a:lstStyle/>
        <a:p>
          <a:endParaRPr lang="de-AT"/>
        </a:p>
      </dgm:t>
    </dgm:pt>
    <dgm:pt modelId="{BAFB6A75-B2DB-4E85-A529-556C22AE8BDF}" type="sibTrans" cxnId="{AA325129-F493-41CE-815F-B90349E1E85F}">
      <dgm:prSet/>
      <dgm:spPr/>
      <dgm:t>
        <a:bodyPr/>
        <a:lstStyle/>
        <a:p>
          <a:endParaRPr lang="de-AT"/>
        </a:p>
      </dgm:t>
    </dgm:pt>
    <dgm:pt modelId="{7CC2D6D7-080E-4F21-9EE0-5DD7AD2ACE77}">
      <dgm:prSet phldrT="[Text]"/>
      <dgm:spPr/>
      <dgm:t>
        <a:bodyPr/>
        <a:lstStyle/>
        <a:p>
          <a:r>
            <a:rPr lang="de-AT" b="0">
              <a:solidFill>
                <a:schemeClr val="accent2">
                  <a:lumMod val="75000"/>
                </a:schemeClr>
              </a:solidFill>
            </a:rPr>
            <a:t>Antwort an den Auskunftssteller </a:t>
          </a:r>
          <a:r>
            <a:rPr lang="de-AT" b="0" u="sng">
              <a:solidFill>
                <a:schemeClr val="accent2">
                  <a:lumMod val="75000"/>
                </a:schemeClr>
              </a:solidFill>
            </a:rPr>
            <a:t>Erteilung der Auskunft</a:t>
          </a:r>
          <a:r>
            <a:rPr lang="de-AT" b="0">
              <a:solidFill>
                <a:schemeClr val="accent2">
                  <a:lumMod val="75000"/>
                </a:schemeClr>
              </a:solidFill>
            </a:rPr>
            <a:t> </a:t>
          </a:r>
        </a:p>
      </dgm:t>
    </dgm:pt>
    <dgm:pt modelId="{C2AC8620-FBFA-4A5A-8ED5-5C6033EAF635}" type="parTrans" cxnId="{09C111EB-BF14-4E2B-944F-BB956B23C379}">
      <dgm:prSet/>
      <dgm:spPr/>
      <dgm:t>
        <a:bodyPr/>
        <a:lstStyle/>
        <a:p>
          <a:endParaRPr lang="de-AT"/>
        </a:p>
      </dgm:t>
    </dgm:pt>
    <dgm:pt modelId="{A561BC01-F501-4692-95E8-F5F965CFA6D8}" type="sibTrans" cxnId="{09C111EB-BF14-4E2B-944F-BB956B23C379}">
      <dgm:prSet/>
      <dgm:spPr/>
      <dgm:t>
        <a:bodyPr/>
        <a:lstStyle/>
        <a:p>
          <a:endParaRPr lang="de-AT"/>
        </a:p>
      </dgm:t>
    </dgm:pt>
    <dgm:pt modelId="{7D5BCD30-AEC3-4700-BFCD-D327B80F5CA6}">
      <dgm:prSet phldrT="[Text]"/>
      <dgm:spPr/>
      <dgm:t>
        <a:bodyPr/>
        <a:lstStyle/>
        <a:p>
          <a:r>
            <a:rPr lang="de-AT" u="sng">
              <a:solidFill>
                <a:schemeClr val="accent4">
                  <a:lumMod val="75000"/>
                </a:schemeClr>
              </a:solidFill>
            </a:rPr>
            <a:t>Erteilung der Auskunft</a:t>
          </a:r>
          <a:endParaRPr lang="de-AT">
            <a:solidFill>
              <a:schemeClr val="accent4">
                <a:lumMod val="75000"/>
              </a:schemeClr>
            </a:solidFill>
          </a:endParaRPr>
        </a:p>
      </dgm:t>
    </dgm:pt>
    <dgm:pt modelId="{81B49C61-A4D5-4E82-86B1-C537D83E4DC4}" type="sibTrans" cxnId="{2167D8B2-B913-4F5E-B878-87A399DCB76B}">
      <dgm:prSet/>
      <dgm:spPr/>
      <dgm:t>
        <a:bodyPr/>
        <a:lstStyle/>
        <a:p>
          <a:endParaRPr lang="de-AT"/>
        </a:p>
      </dgm:t>
    </dgm:pt>
    <dgm:pt modelId="{4F289E80-1506-4BDA-B5B3-573866433ED5}" type="parTrans" cxnId="{2167D8B2-B913-4F5E-B878-87A399DCB76B}">
      <dgm:prSet/>
      <dgm:spPr/>
      <dgm:t>
        <a:bodyPr/>
        <a:lstStyle/>
        <a:p>
          <a:endParaRPr lang="de-AT"/>
        </a:p>
      </dgm:t>
    </dgm:pt>
    <dgm:pt modelId="{7D362D26-41A4-4AF0-B5EA-5577D9635A36}" type="pres">
      <dgm:prSet presAssocID="{E6ACC428-A8AB-45F8-8A1F-988773F35979}" presName="Name0" presStyleCnt="0">
        <dgm:presLayoutVars>
          <dgm:chMax val="7"/>
          <dgm:chPref val="7"/>
          <dgm:dir/>
          <dgm:animLvl val="lvl"/>
        </dgm:presLayoutVars>
      </dgm:prSet>
      <dgm:spPr/>
    </dgm:pt>
    <dgm:pt modelId="{BDE653BB-E577-4F7F-AC3F-A892ED69C66D}" type="pres">
      <dgm:prSet presAssocID="{5F0C6AFC-2A54-4335-BC67-3A39CA69D286}" presName="Accent1" presStyleCnt="0"/>
      <dgm:spPr/>
    </dgm:pt>
    <dgm:pt modelId="{D77151C6-3843-42A5-B306-A5CA5FF0972D}" type="pres">
      <dgm:prSet presAssocID="{5F0C6AFC-2A54-4335-BC67-3A39CA69D286}" presName="Accent" presStyleLbl="node1" presStyleIdx="0" presStyleCnt="3"/>
      <dgm:spPr/>
    </dgm:pt>
    <dgm:pt modelId="{E7D5CA9D-4635-4BBC-B4D5-76B8D35EFC48}" type="pres">
      <dgm:prSet presAssocID="{5F0C6AFC-2A54-4335-BC67-3A39CA69D286}" presName="Child1" presStyleLbl="revTx" presStyleIdx="0" presStyleCnt="6" custScaleX="198060" custScaleY="200297" custLinFactNeighborX="76093" custLinFactNeighborY="-3846">
        <dgm:presLayoutVars>
          <dgm:chMax val="0"/>
          <dgm:chPref val="0"/>
          <dgm:bulletEnabled val="1"/>
        </dgm:presLayoutVars>
      </dgm:prSet>
      <dgm:spPr/>
    </dgm:pt>
    <dgm:pt modelId="{783CF537-E026-4A3B-945A-0F6979A0666E}" type="pres">
      <dgm:prSet presAssocID="{5F0C6AFC-2A54-4335-BC67-3A39CA69D286}" presName="Parent1" presStyleLbl="revTx" presStyleIdx="1" presStyleCnt="6">
        <dgm:presLayoutVars>
          <dgm:chMax val="1"/>
          <dgm:chPref val="1"/>
          <dgm:bulletEnabled val="1"/>
        </dgm:presLayoutVars>
      </dgm:prSet>
      <dgm:spPr/>
    </dgm:pt>
    <dgm:pt modelId="{9585842A-613D-4216-8AFC-1488E4CD358C}" type="pres">
      <dgm:prSet presAssocID="{D40850D9-5A88-4A5D-8CBF-576C1A9D3C6A}" presName="Accent2" presStyleCnt="0"/>
      <dgm:spPr/>
    </dgm:pt>
    <dgm:pt modelId="{13A91E98-2647-4FE4-86E3-0FB137A65374}" type="pres">
      <dgm:prSet presAssocID="{D40850D9-5A88-4A5D-8CBF-576C1A9D3C6A}" presName="Accent" presStyleLbl="node1" presStyleIdx="1" presStyleCnt="3"/>
      <dgm:spPr/>
    </dgm:pt>
    <dgm:pt modelId="{A5A61C9A-8F3A-476D-8F33-F14375FB8C63}" type="pres">
      <dgm:prSet presAssocID="{D40850D9-5A88-4A5D-8CBF-576C1A9D3C6A}" presName="Child2" presStyleLbl="revTx" presStyleIdx="2" presStyleCnt="6" custScaleX="165514" custScaleY="169763">
        <dgm:presLayoutVars>
          <dgm:chMax val="0"/>
          <dgm:chPref val="0"/>
          <dgm:bulletEnabled val="1"/>
        </dgm:presLayoutVars>
      </dgm:prSet>
      <dgm:spPr/>
    </dgm:pt>
    <dgm:pt modelId="{A9CA1613-B529-4E2F-ACE1-C32AF760BA8A}" type="pres">
      <dgm:prSet presAssocID="{D40850D9-5A88-4A5D-8CBF-576C1A9D3C6A}" presName="Parent2" presStyleLbl="revTx" presStyleIdx="3" presStyleCnt="6">
        <dgm:presLayoutVars>
          <dgm:chMax val="1"/>
          <dgm:chPref val="1"/>
          <dgm:bulletEnabled val="1"/>
        </dgm:presLayoutVars>
      </dgm:prSet>
      <dgm:spPr/>
    </dgm:pt>
    <dgm:pt modelId="{0547D7CC-AD88-4469-89E3-E5341C79564A}" type="pres">
      <dgm:prSet presAssocID="{D25517DD-067E-4EB0-91C1-339B9953E839}" presName="Accent3" presStyleCnt="0"/>
      <dgm:spPr/>
    </dgm:pt>
    <dgm:pt modelId="{BEF69004-8EE2-4BE9-A1EB-127C5DE5C2D6}" type="pres">
      <dgm:prSet presAssocID="{D25517DD-067E-4EB0-91C1-339B9953E839}" presName="Accent" presStyleLbl="node1" presStyleIdx="2" presStyleCnt="3"/>
      <dgm:spPr/>
    </dgm:pt>
    <dgm:pt modelId="{D53D4837-F259-4885-8094-4C0D2BC290BC}" type="pres">
      <dgm:prSet presAssocID="{D25517DD-067E-4EB0-91C1-339B9953E839}" presName="Child3" presStyleLbl="revTx" presStyleIdx="4" presStyleCnt="6">
        <dgm:presLayoutVars>
          <dgm:chMax val="0"/>
          <dgm:chPref val="0"/>
          <dgm:bulletEnabled val="1"/>
        </dgm:presLayoutVars>
      </dgm:prSet>
      <dgm:spPr/>
    </dgm:pt>
    <dgm:pt modelId="{1BAA82FF-4A50-4022-9B1B-52ADC6E64F29}" type="pres">
      <dgm:prSet presAssocID="{D25517DD-067E-4EB0-91C1-339B9953E839}" presName="Parent3" presStyleLbl="revTx" presStyleIdx="5" presStyleCnt="6">
        <dgm:presLayoutVars>
          <dgm:chMax val="1"/>
          <dgm:chPref val="1"/>
          <dgm:bulletEnabled val="1"/>
        </dgm:presLayoutVars>
      </dgm:prSet>
      <dgm:spPr/>
    </dgm:pt>
  </dgm:ptLst>
  <dgm:cxnLst>
    <dgm:cxn modelId="{5C83D804-73B8-4B72-A660-B342AF071A0A}" srcId="{E6ACC428-A8AB-45F8-8A1F-988773F35979}" destId="{D40850D9-5A88-4A5D-8CBF-576C1A9D3C6A}" srcOrd="1" destOrd="0" parTransId="{BBBFB04D-DBEE-4733-8D9B-D762E71656FE}" sibTransId="{9D5DB157-9F50-48B9-B105-6B862412BE22}"/>
    <dgm:cxn modelId="{A3CDB50F-0870-4527-8C43-5899FD4CF48C}" type="presOf" srcId="{18C93B3D-F207-4AE0-A228-01F818B0A0A8}" destId="{E7D5CA9D-4635-4BBC-B4D5-76B8D35EFC48}" srcOrd="0" destOrd="2" presId="urn:microsoft.com/office/officeart/2009/layout/CircleArrowProcess"/>
    <dgm:cxn modelId="{B6A1EF16-82C5-4BD0-8544-1771E3ABFAAB}" type="presOf" srcId="{8060C14A-0ABD-43BE-987D-F871C3F9E1BA}" destId="{D53D4837-F259-4885-8094-4C0D2BC290BC}" srcOrd="0" destOrd="1" presId="urn:microsoft.com/office/officeart/2009/layout/CircleArrowProcess"/>
    <dgm:cxn modelId="{5A08E81A-A111-4A5F-8103-26C68D7259A3}" type="presOf" srcId="{D25517DD-067E-4EB0-91C1-339B9953E839}" destId="{1BAA82FF-4A50-4022-9B1B-52ADC6E64F29}" srcOrd="0" destOrd="0" presId="urn:microsoft.com/office/officeart/2009/layout/CircleArrowProcess"/>
    <dgm:cxn modelId="{AA325129-F493-41CE-815F-B90349E1E85F}" srcId="{5F0C6AFC-2A54-4335-BC67-3A39CA69D286}" destId="{18C93B3D-F207-4AE0-A228-01F818B0A0A8}" srcOrd="2" destOrd="0" parTransId="{36FF28DB-CEFA-433C-8485-FED703B7E8C8}" sibTransId="{BAFB6A75-B2DB-4E85-A529-556C22AE8BDF}"/>
    <dgm:cxn modelId="{26DEE836-0A6C-4A72-B7B5-4B83E63203B8}" srcId="{E6ACC428-A8AB-45F8-8A1F-988773F35979}" destId="{D25517DD-067E-4EB0-91C1-339B9953E839}" srcOrd="2" destOrd="0" parTransId="{67CA520A-1D48-477B-B978-A2E79D2460BD}" sibTransId="{7BDF3B06-458F-4E6A-B0B8-1BE8ACCD1959}"/>
    <dgm:cxn modelId="{08DB7A38-8D6C-45BE-BDDD-6AE1D8AE1CD9}" srcId="{5F0C6AFC-2A54-4335-BC67-3A39CA69D286}" destId="{30E49448-950F-4122-B27D-6EB45DC06144}" srcOrd="0" destOrd="0" parTransId="{8389CC09-6EAC-4D17-AE82-8448897200C5}" sibTransId="{16C33E82-0DAC-450A-BA1E-7475A274EB6D}"/>
    <dgm:cxn modelId="{3FBDCF41-D076-47D1-84EF-3D2A6CA81643}" type="presOf" srcId="{D28B87EC-8B2F-4010-974F-735E735584DD}" destId="{A5A61C9A-8F3A-476D-8F33-F14375FB8C63}" srcOrd="0" destOrd="0" presId="urn:microsoft.com/office/officeart/2009/layout/CircleArrowProcess"/>
    <dgm:cxn modelId="{F3518342-49F5-4064-AF04-B6C5617FAC9E}" type="presOf" srcId="{30E49448-950F-4122-B27D-6EB45DC06144}" destId="{E7D5CA9D-4635-4BBC-B4D5-76B8D35EFC48}" srcOrd="0" destOrd="0" presId="urn:microsoft.com/office/officeart/2009/layout/CircleArrowProcess"/>
    <dgm:cxn modelId="{4EEEB464-5F82-4C52-8E16-B2DCD57D4DB2}" type="presOf" srcId="{6EF75693-2C4B-4A4C-B655-CEB1669274F5}" destId="{E7D5CA9D-4635-4BBC-B4D5-76B8D35EFC48}" srcOrd="0" destOrd="1" presId="urn:microsoft.com/office/officeart/2009/layout/CircleArrowProcess"/>
    <dgm:cxn modelId="{AAA37772-AF19-4229-A119-0B8F2DF91879}" srcId="{E6ACC428-A8AB-45F8-8A1F-988773F35979}" destId="{5F0C6AFC-2A54-4335-BC67-3A39CA69D286}" srcOrd="0" destOrd="0" parTransId="{B7826EA0-53E7-466D-9DA4-CDC59202C83B}" sibTransId="{24D145C6-8B13-4F77-A266-596CFA6E2A91}"/>
    <dgm:cxn modelId="{D42B8957-6E36-4470-9A25-4E41F370CC13}" type="presOf" srcId="{E6ACC428-A8AB-45F8-8A1F-988773F35979}" destId="{7D362D26-41A4-4AF0-B5EA-5577D9635A36}" srcOrd="0" destOrd="0" presId="urn:microsoft.com/office/officeart/2009/layout/CircleArrowProcess"/>
    <dgm:cxn modelId="{0A5EEA78-041C-4B46-94F9-98DA831333D7}" type="presOf" srcId="{7D5BCD30-AEC3-4700-BFCD-D327B80F5CA6}" destId="{D53D4837-F259-4885-8094-4C0D2BC290BC}" srcOrd="0" destOrd="0" presId="urn:microsoft.com/office/officeart/2009/layout/CircleArrowProcess"/>
    <dgm:cxn modelId="{BDA62359-5311-45A7-9FCE-6BC043B0B80D}" srcId="{D40850D9-5A88-4A5D-8CBF-576C1A9D3C6A}" destId="{D28B87EC-8B2F-4010-974F-735E735584DD}" srcOrd="0" destOrd="0" parTransId="{4AEF5B44-4521-4BAA-86D4-FC03727DCD8D}" sibTransId="{29A6004B-9CA5-48F1-8418-D91C4CF1BE8B}"/>
    <dgm:cxn modelId="{BABF435A-79EC-4FD2-A309-A10F6E706CC9}" type="presOf" srcId="{D40850D9-5A88-4A5D-8CBF-576C1A9D3C6A}" destId="{A9CA1613-B529-4E2F-ACE1-C32AF760BA8A}" srcOrd="0" destOrd="0" presId="urn:microsoft.com/office/officeart/2009/layout/CircleArrowProcess"/>
    <dgm:cxn modelId="{1F11109B-F2B4-4E74-9C35-F29C71D418F7}" srcId="{D25517DD-067E-4EB0-91C1-339B9953E839}" destId="{8060C14A-0ABD-43BE-987D-F871C3F9E1BA}" srcOrd="1" destOrd="0" parTransId="{A311EFBB-BC8C-445A-850E-72A95C843AB3}" sibTransId="{E9EF920D-54DD-49D5-A7B8-D5F99DF8CC93}"/>
    <dgm:cxn modelId="{2650CAAE-61B2-4BD5-822C-E5A64AEA2739}" srcId="{5F0C6AFC-2A54-4335-BC67-3A39CA69D286}" destId="{6EF75693-2C4B-4A4C-B655-CEB1669274F5}" srcOrd="1" destOrd="0" parTransId="{3ED0F5D5-C8BC-4E31-B2B2-D07B0A8808D5}" sibTransId="{0B1CABBE-18DC-416D-AABF-B76F2EE54456}"/>
    <dgm:cxn modelId="{C1BE48B1-E3B4-4384-824D-9E39172FE693}" type="presOf" srcId="{7CC2D6D7-080E-4F21-9EE0-5DD7AD2ACE77}" destId="{E7D5CA9D-4635-4BBC-B4D5-76B8D35EFC48}" srcOrd="0" destOrd="3" presId="urn:microsoft.com/office/officeart/2009/layout/CircleArrowProcess"/>
    <dgm:cxn modelId="{2167D8B2-B913-4F5E-B878-87A399DCB76B}" srcId="{D25517DD-067E-4EB0-91C1-339B9953E839}" destId="{7D5BCD30-AEC3-4700-BFCD-D327B80F5CA6}" srcOrd="0" destOrd="0" parTransId="{4F289E80-1506-4BDA-B5B3-573866433ED5}" sibTransId="{81B49C61-A4D5-4E82-86B1-C537D83E4DC4}"/>
    <dgm:cxn modelId="{E85FABC1-0474-44C5-9034-1FAA857DB1D0}" type="presOf" srcId="{5F0C6AFC-2A54-4335-BC67-3A39CA69D286}" destId="{783CF537-E026-4A3B-945A-0F6979A0666E}" srcOrd="0" destOrd="0" presId="urn:microsoft.com/office/officeart/2009/layout/CircleArrowProcess"/>
    <dgm:cxn modelId="{C3F1CBC5-2D3B-46B2-A112-3628B153A028}" srcId="{D40850D9-5A88-4A5D-8CBF-576C1A9D3C6A}" destId="{5F627C62-56DD-4989-8129-370E4F3931F7}" srcOrd="1" destOrd="0" parTransId="{E267512F-B3C0-4269-A696-1D1C067A44CB}" sibTransId="{37FEF2BA-470C-431D-9C45-01B89E4129C5}"/>
    <dgm:cxn modelId="{4D0589D4-C209-403B-A6A7-BE0342BAE0BC}" type="presOf" srcId="{5F627C62-56DD-4989-8129-370E4F3931F7}" destId="{A5A61C9A-8F3A-476D-8F33-F14375FB8C63}" srcOrd="0" destOrd="1" presId="urn:microsoft.com/office/officeart/2009/layout/CircleArrowProcess"/>
    <dgm:cxn modelId="{09C111EB-BF14-4E2B-944F-BB956B23C379}" srcId="{5F0C6AFC-2A54-4335-BC67-3A39CA69D286}" destId="{7CC2D6D7-080E-4F21-9EE0-5DD7AD2ACE77}" srcOrd="3" destOrd="0" parTransId="{C2AC8620-FBFA-4A5A-8ED5-5C6033EAF635}" sibTransId="{A561BC01-F501-4692-95E8-F5F965CFA6D8}"/>
    <dgm:cxn modelId="{18D6F29C-A0AA-43F3-86C8-BAB359C04A79}" type="presParOf" srcId="{7D362D26-41A4-4AF0-B5EA-5577D9635A36}" destId="{BDE653BB-E577-4F7F-AC3F-A892ED69C66D}" srcOrd="0" destOrd="0" presId="urn:microsoft.com/office/officeart/2009/layout/CircleArrowProcess"/>
    <dgm:cxn modelId="{E53364E3-5F44-495A-8ADE-3B9898BFD6FC}" type="presParOf" srcId="{BDE653BB-E577-4F7F-AC3F-A892ED69C66D}" destId="{D77151C6-3843-42A5-B306-A5CA5FF0972D}" srcOrd="0" destOrd="0" presId="urn:microsoft.com/office/officeart/2009/layout/CircleArrowProcess"/>
    <dgm:cxn modelId="{80173916-DE1B-4359-808E-A869AF857F4E}" type="presParOf" srcId="{7D362D26-41A4-4AF0-B5EA-5577D9635A36}" destId="{E7D5CA9D-4635-4BBC-B4D5-76B8D35EFC48}" srcOrd="1" destOrd="0" presId="urn:microsoft.com/office/officeart/2009/layout/CircleArrowProcess"/>
    <dgm:cxn modelId="{DEC31E9E-6C64-46CF-815E-554B8F569A17}" type="presParOf" srcId="{7D362D26-41A4-4AF0-B5EA-5577D9635A36}" destId="{783CF537-E026-4A3B-945A-0F6979A0666E}" srcOrd="2" destOrd="0" presId="urn:microsoft.com/office/officeart/2009/layout/CircleArrowProcess"/>
    <dgm:cxn modelId="{798DA602-4A2C-4786-B7FC-5F126898EB28}" type="presParOf" srcId="{7D362D26-41A4-4AF0-B5EA-5577D9635A36}" destId="{9585842A-613D-4216-8AFC-1488E4CD358C}" srcOrd="3" destOrd="0" presId="urn:microsoft.com/office/officeart/2009/layout/CircleArrowProcess"/>
    <dgm:cxn modelId="{6BA89826-FC54-4460-ACEF-0A452A0876CB}" type="presParOf" srcId="{9585842A-613D-4216-8AFC-1488E4CD358C}" destId="{13A91E98-2647-4FE4-86E3-0FB137A65374}" srcOrd="0" destOrd="0" presId="urn:microsoft.com/office/officeart/2009/layout/CircleArrowProcess"/>
    <dgm:cxn modelId="{010B1011-45FA-41B6-9807-A8D1974201B4}" type="presParOf" srcId="{7D362D26-41A4-4AF0-B5EA-5577D9635A36}" destId="{A5A61C9A-8F3A-476D-8F33-F14375FB8C63}" srcOrd="4" destOrd="0" presId="urn:microsoft.com/office/officeart/2009/layout/CircleArrowProcess"/>
    <dgm:cxn modelId="{5AFC47DC-46AB-445B-9171-97A5CEAB80F1}" type="presParOf" srcId="{7D362D26-41A4-4AF0-B5EA-5577D9635A36}" destId="{A9CA1613-B529-4E2F-ACE1-C32AF760BA8A}" srcOrd="5" destOrd="0" presId="urn:microsoft.com/office/officeart/2009/layout/CircleArrowProcess"/>
    <dgm:cxn modelId="{38F006FE-96C7-4042-A98E-10427252F503}" type="presParOf" srcId="{7D362D26-41A4-4AF0-B5EA-5577D9635A36}" destId="{0547D7CC-AD88-4469-89E3-E5341C79564A}" srcOrd="6" destOrd="0" presId="urn:microsoft.com/office/officeart/2009/layout/CircleArrowProcess"/>
    <dgm:cxn modelId="{A891B33F-1887-47BB-8F14-07D885A39CC1}" type="presParOf" srcId="{0547D7CC-AD88-4469-89E3-E5341C79564A}" destId="{BEF69004-8EE2-4BE9-A1EB-127C5DE5C2D6}" srcOrd="0" destOrd="0" presId="urn:microsoft.com/office/officeart/2009/layout/CircleArrowProcess"/>
    <dgm:cxn modelId="{22D64747-1441-4EEB-8D32-06DC04132AA5}" type="presParOf" srcId="{7D362D26-41A4-4AF0-B5EA-5577D9635A36}" destId="{D53D4837-F259-4885-8094-4C0D2BC290BC}" srcOrd="7" destOrd="0" presId="urn:microsoft.com/office/officeart/2009/layout/CircleArrowProcess"/>
    <dgm:cxn modelId="{7A965A47-5802-449B-BDB3-11CA6A6D3EB5}" type="presParOf" srcId="{7D362D26-41A4-4AF0-B5EA-5577D9635A36}" destId="{1BAA82FF-4A50-4022-9B1B-52ADC6E64F29}" srcOrd="8"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151C6-3843-42A5-B306-A5CA5FF0972D}">
      <dsp:nvSpPr>
        <dsp:cNvPr id="0" name=""/>
        <dsp:cNvSpPr/>
      </dsp:nvSpPr>
      <dsp:spPr>
        <a:xfrm>
          <a:off x="1275683" y="0"/>
          <a:ext cx="1856778" cy="1857060"/>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D5CA9D-4635-4BBC-B4D5-76B8D35EFC48}">
      <dsp:nvSpPr>
        <dsp:cNvPr id="0" name=""/>
        <dsp:cNvSpPr/>
      </dsp:nvSpPr>
      <dsp:spPr>
        <a:xfrm>
          <a:off x="3346554" y="152401"/>
          <a:ext cx="2206520" cy="1488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00050">
            <a:lnSpc>
              <a:spcPct val="90000"/>
            </a:lnSpc>
            <a:spcBef>
              <a:spcPct val="0"/>
            </a:spcBef>
            <a:spcAft>
              <a:spcPct val="15000"/>
            </a:spcAft>
            <a:buChar char="•"/>
          </a:pPr>
          <a:r>
            <a:rPr lang="de-AT" sz="900" b="0" kern="1200">
              <a:solidFill>
                <a:schemeClr val="accent2">
                  <a:lumMod val="75000"/>
                </a:schemeClr>
              </a:solidFill>
            </a:rPr>
            <a:t>Auskunftsanfrage</a:t>
          </a:r>
        </a:p>
        <a:p>
          <a:pPr marL="57150" lvl="1" indent="-57150" algn="l" defTabSz="400050">
            <a:lnSpc>
              <a:spcPct val="90000"/>
            </a:lnSpc>
            <a:spcBef>
              <a:spcPct val="0"/>
            </a:spcBef>
            <a:spcAft>
              <a:spcPct val="15000"/>
            </a:spcAft>
            <a:buChar char="•"/>
          </a:pPr>
          <a:r>
            <a:rPr lang="de-AT" sz="900" b="0" kern="1200">
              <a:solidFill>
                <a:schemeClr val="accent2">
                  <a:lumMod val="75000"/>
                </a:schemeClr>
              </a:solidFill>
            </a:rPr>
            <a:t>Überprüfung ob es sich um ein Auskunftsverlangen handelt</a:t>
          </a:r>
        </a:p>
        <a:p>
          <a:pPr marL="57150" lvl="1" indent="-57150" algn="l" defTabSz="400050">
            <a:lnSpc>
              <a:spcPct val="90000"/>
            </a:lnSpc>
            <a:spcBef>
              <a:spcPct val="0"/>
            </a:spcBef>
            <a:spcAft>
              <a:spcPct val="15000"/>
            </a:spcAft>
            <a:buChar char="•"/>
          </a:pPr>
          <a:r>
            <a:rPr lang="de-AT" sz="900" b="0" u="sng" kern="1200">
              <a:solidFill>
                <a:schemeClr val="accent2">
                  <a:lumMod val="75000"/>
                </a:schemeClr>
              </a:solidFill>
            </a:rPr>
            <a:t>Überprüfung der Identität.</a:t>
          </a:r>
          <a:r>
            <a:rPr lang="de-AT" sz="900" b="0" kern="1200">
              <a:solidFill>
                <a:schemeClr val="accent2">
                  <a:lumMod val="75000"/>
                </a:schemeClr>
              </a:solidFill>
            </a:rPr>
            <a:t> </a:t>
          </a:r>
        </a:p>
        <a:p>
          <a:pPr marL="57150" lvl="1" indent="-57150" algn="l" defTabSz="400050">
            <a:lnSpc>
              <a:spcPct val="90000"/>
            </a:lnSpc>
            <a:spcBef>
              <a:spcPct val="0"/>
            </a:spcBef>
            <a:spcAft>
              <a:spcPct val="15000"/>
            </a:spcAft>
            <a:buChar char="•"/>
          </a:pPr>
          <a:r>
            <a:rPr lang="de-AT" sz="900" b="0" kern="1200">
              <a:solidFill>
                <a:schemeClr val="accent2">
                  <a:lumMod val="75000"/>
                </a:schemeClr>
              </a:solidFill>
            </a:rPr>
            <a:t>Antwort an den Auskunftssteller </a:t>
          </a:r>
          <a:r>
            <a:rPr lang="de-AT" sz="900" b="0" u="sng" kern="1200">
              <a:solidFill>
                <a:schemeClr val="accent2">
                  <a:lumMod val="75000"/>
                </a:schemeClr>
              </a:solidFill>
            </a:rPr>
            <a:t>Erteilung der Auskunft</a:t>
          </a:r>
          <a:r>
            <a:rPr lang="de-AT" sz="900" b="0" kern="1200">
              <a:solidFill>
                <a:schemeClr val="accent2">
                  <a:lumMod val="75000"/>
                </a:schemeClr>
              </a:solidFill>
            </a:rPr>
            <a:t> </a:t>
          </a:r>
        </a:p>
      </dsp:txBody>
      <dsp:txXfrm>
        <a:off x="3346554" y="152401"/>
        <a:ext cx="2206520" cy="1488163"/>
      </dsp:txXfrm>
    </dsp:sp>
    <dsp:sp modelId="{783CF537-E026-4A3B-945A-0F6979A0666E}">
      <dsp:nvSpPr>
        <dsp:cNvPr id="0" name=""/>
        <dsp:cNvSpPr/>
      </dsp:nvSpPr>
      <dsp:spPr>
        <a:xfrm>
          <a:off x="1686092" y="670455"/>
          <a:ext cx="1031775" cy="515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AT" sz="1300" kern="1200"/>
            <a:t>Auskunftsrecht</a:t>
          </a:r>
        </a:p>
      </dsp:txBody>
      <dsp:txXfrm>
        <a:off x="1686092" y="670455"/>
        <a:ext cx="1031775" cy="515764"/>
      </dsp:txXfrm>
    </dsp:sp>
    <dsp:sp modelId="{13A91E98-2647-4FE4-86E3-0FB137A65374}">
      <dsp:nvSpPr>
        <dsp:cNvPr id="0" name=""/>
        <dsp:cNvSpPr/>
      </dsp:nvSpPr>
      <dsp:spPr>
        <a:xfrm>
          <a:off x="759970" y="1067019"/>
          <a:ext cx="1856778" cy="1857060"/>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A61C9A-8F3A-476D-8F33-F14375FB8C63}">
      <dsp:nvSpPr>
        <dsp:cNvPr id="0" name=""/>
        <dsp:cNvSpPr/>
      </dsp:nvSpPr>
      <dsp:spPr>
        <a:xfrm>
          <a:off x="2251813" y="1367598"/>
          <a:ext cx="1843936" cy="1261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00050">
            <a:lnSpc>
              <a:spcPct val="90000"/>
            </a:lnSpc>
            <a:spcBef>
              <a:spcPct val="0"/>
            </a:spcBef>
            <a:spcAft>
              <a:spcPct val="15000"/>
            </a:spcAft>
            <a:buChar char="•"/>
          </a:pPr>
          <a:r>
            <a:rPr lang="de-AT" sz="900" u="sng" kern="1200">
              <a:solidFill>
                <a:schemeClr val="bg1">
                  <a:lumMod val="50000"/>
                </a:schemeClr>
              </a:solidFill>
            </a:rPr>
            <a:t>Erteilung der Auskunft</a:t>
          </a:r>
          <a:endParaRPr lang="de-AT" sz="900" kern="1200">
            <a:solidFill>
              <a:schemeClr val="bg1">
                <a:lumMod val="50000"/>
              </a:schemeClr>
            </a:solidFill>
          </a:endParaRPr>
        </a:p>
        <a:p>
          <a:pPr marL="57150" lvl="1" indent="-57150" algn="l" defTabSz="400050">
            <a:lnSpc>
              <a:spcPct val="90000"/>
            </a:lnSpc>
            <a:spcBef>
              <a:spcPct val="0"/>
            </a:spcBef>
            <a:spcAft>
              <a:spcPct val="15000"/>
            </a:spcAft>
            <a:buChar char="•"/>
          </a:pPr>
          <a:r>
            <a:rPr lang="de-AT" sz="900" u="sng" kern="1200">
              <a:solidFill>
                <a:schemeClr val="bg1">
                  <a:lumMod val="50000"/>
                </a:schemeClr>
              </a:solidFill>
            </a:rPr>
            <a:t>Bestätigung der Berichtigung</a:t>
          </a:r>
          <a:endParaRPr lang="de-AT" sz="900" kern="1200">
            <a:solidFill>
              <a:schemeClr val="bg1">
                <a:lumMod val="50000"/>
              </a:schemeClr>
            </a:solidFill>
          </a:endParaRPr>
        </a:p>
      </dsp:txBody>
      <dsp:txXfrm>
        <a:off x="2251813" y="1367598"/>
        <a:ext cx="1843936" cy="1261302"/>
      </dsp:txXfrm>
    </dsp:sp>
    <dsp:sp modelId="{A9CA1613-B529-4E2F-ACE1-C32AF760BA8A}">
      <dsp:nvSpPr>
        <dsp:cNvPr id="0" name=""/>
        <dsp:cNvSpPr/>
      </dsp:nvSpPr>
      <dsp:spPr>
        <a:xfrm>
          <a:off x="1172471" y="1743646"/>
          <a:ext cx="1031775" cy="515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AT" sz="1300" kern="1200"/>
            <a:t>Recht auf Berichtigung</a:t>
          </a:r>
        </a:p>
      </dsp:txBody>
      <dsp:txXfrm>
        <a:off x="1172471" y="1743646"/>
        <a:ext cx="1031775" cy="515764"/>
      </dsp:txXfrm>
    </dsp:sp>
    <dsp:sp modelId="{BEF69004-8EE2-4BE9-A1EB-127C5DE5C2D6}">
      <dsp:nvSpPr>
        <dsp:cNvPr id="0" name=""/>
        <dsp:cNvSpPr/>
      </dsp:nvSpPr>
      <dsp:spPr>
        <a:xfrm>
          <a:off x="1407837" y="2261725"/>
          <a:ext cx="1595260" cy="1595899"/>
        </a:xfrm>
        <a:prstGeom prst="blockArc">
          <a:avLst>
            <a:gd name="adj1" fmla="val 13500000"/>
            <a:gd name="adj2" fmla="val 10800000"/>
            <a:gd name="adj3" fmla="val 1274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3D4837-F259-4885-8094-4C0D2BC290BC}">
      <dsp:nvSpPr>
        <dsp:cNvPr id="0" name=""/>
        <dsp:cNvSpPr/>
      </dsp:nvSpPr>
      <dsp:spPr>
        <a:xfrm>
          <a:off x="3132810" y="2699565"/>
          <a:ext cx="1114066" cy="7429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00050">
            <a:lnSpc>
              <a:spcPct val="90000"/>
            </a:lnSpc>
            <a:spcBef>
              <a:spcPct val="0"/>
            </a:spcBef>
            <a:spcAft>
              <a:spcPct val="15000"/>
            </a:spcAft>
            <a:buChar char="•"/>
          </a:pPr>
          <a:r>
            <a:rPr lang="de-AT" sz="900" u="sng" kern="1200">
              <a:solidFill>
                <a:schemeClr val="accent4">
                  <a:lumMod val="75000"/>
                </a:schemeClr>
              </a:solidFill>
            </a:rPr>
            <a:t>Erteilung der Auskunft</a:t>
          </a:r>
          <a:endParaRPr lang="de-AT" sz="900" kern="1200">
            <a:solidFill>
              <a:schemeClr val="accent4">
                <a:lumMod val="75000"/>
              </a:schemeClr>
            </a:solidFill>
          </a:endParaRPr>
        </a:p>
        <a:p>
          <a:pPr marL="57150" lvl="1" indent="-57150" algn="l" defTabSz="400050">
            <a:lnSpc>
              <a:spcPct val="90000"/>
            </a:lnSpc>
            <a:spcBef>
              <a:spcPct val="0"/>
            </a:spcBef>
            <a:spcAft>
              <a:spcPct val="15000"/>
            </a:spcAft>
            <a:buChar char="•"/>
          </a:pPr>
          <a:r>
            <a:rPr lang="de-AT" sz="900" u="sng" kern="1200">
              <a:solidFill>
                <a:schemeClr val="accent4">
                  <a:lumMod val="75000"/>
                </a:schemeClr>
              </a:solidFill>
            </a:rPr>
            <a:t>Bestätigung der Löschung</a:t>
          </a:r>
          <a:r>
            <a:rPr lang="de-AT" sz="900" kern="1200">
              <a:solidFill>
                <a:schemeClr val="accent4">
                  <a:lumMod val="75000"/>
                </a:schemeClr>
              </a:solidFill>
            </a:rPr>
            <a:t> </a:t>
          </a:r>
        </a:p>
        <a:p>
          <a:pPr marL="57150" lvl="1" indent="-57150" algn="l" defTabSz="400050">
            <a:lnSpc>
              <a:spcPct val="90000"/>
            </a:lnSpc>
            <a:spcBef>
              <a:spcPct val="0"/>
            </a:spcBef>
            <a:spcAft>
              <a:spcPct val="15000"/>
            </a:spcAft>
            <a:buChar char="•"/>
          </a:pPr>
          <a:endParaRPr lang="de-AT" sz="900" kern="1200"/>
        </a:p>
      </dsp:txBody>
      <dsp:txXfrm>
        <a:off x="3132810" y="2699565"/>
        <a:ext cx="1114066" cy="742978"/>
      </dsp:txXfrm>
    </dsp:sp>
    <dsp:sp modelId="{1BAA82FF-4A50-4022-9B1B-52ADC6E64F29}">
      <dsp:nvSpPr>
        <dsp:cNvPr id="0" name=""/>
        <dsp:cNvSpPr/>
      </dsp:nvSpPr>
      <dsp:spPr>
        <a:xfrm>
          <a:off x="1688533" y="2818380"/>
          <a:ext cx="1031775" cy="515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AT" sz="1300" kern="1200"/>
            <a:t>Recht auf Löschung</a:t>
          </a:r>
        </a:p>
      </dsp:txBody>
      <dsp:txXfrm>
        <a:off x="1688533" y="2818380"/>
        <a:ext cx="1031775" cy="51576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71ED-48A7-4F41-88BB-B3A2B6FB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5</cp:revision>
  <dcterms:created xsi:type="dcterms:W3CDTF">2018-09-17T19:36:00Z</dcterms:created>
  <dcterms:modified xsi:type="dcterms:W3CDTF">2018-09-26T12:15:00Z</dcterms:modified>
</cp:coreProperties>
</file>