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CD2A" w14:textId="77777777" w:rsidR="00300122" w:rsidRPr="00950F9B" w:rsidRDefault="00300122" w:rsidP="00300122">
      <w:pPr>
        <w:spacing w:after="240"/>
        <w:jc w:val="center"/>
        <w:rPr>
          <w:b/>
        </w:rPr>
      </w:pPr>
      <w:r w:rsidRPr="00950F9B">
        <w:rPr>
          <w:b/>
        </w:rPr>
        <w:t>Preisanpassungsklausel</w:t>
      </w:r>
    </w:p>
    <w:p w14:paraId="3F5B7CE7" w14:textId="0728AFCF" w:rsidR="00300122" w:rsidRPr="00950F9B" w:rsidRDefault="00300122" w:rsidP="00300122">
      <w:pPr>
        <w:spacing w:after="480"/>
        <w:jc w:val="center"/>
        <w:rPr>
          <w:b/>
        </w:rPr>
      </w:pPr>
      <w:r w:rsidRPr="00950F9B">
        <w:rPr>
          <w:b/>
        </w:rPr>
        <w:t xml:space="preserve">Muster für </w:t>
      </w:r>
      <w:r w:rsidR="005B2659">
        <w:rPr>
          <w:b/>
        </w:rPr>
        <w:t xml:space="preserve">Vertragsbausteine in </w:t>
      </w:r>
      <w:r w:rsidR="00217D03">
        <w:rPr>
          <w:b/>
        </w:rPr>
        <w:t>Verbraucherverträge</w:t>
      </w:r>
      <w:r w:rsidR="005B2659">
        <w:rPr>
          <w:b/>
        </w:rPr>
        <w:t>n</w:t>
      </w:r>
    </w:p>
    <w:p w14:paraId="20DD20DC" w14:textId="6400C8D2" w:rsidR="005827AA" w:rsidRPr="00844FCF" w:rsidRDefault="005827AA" w:rsidP="005827AA">
      <w:pPr>
        <w:spacing w:after="240"/>
        <w:jc w:val="both"/>
        <w:rPr>
          <w:b/>
        </w:rPr>
      </w:pPr>
      <w:r>
        <w:rPr>
          <w:b/>
        </w:rPr>
        <w:t>Klausel</w:t>
      </w:r>
      <w:r w:rsidRPr="00844FCF">
        <w:rPr>
          <w:b/>
        </w:rPr>
        <w:t xml:space="preserve"> 1 (Indexierung</w:t>
      </w:r>
      <w:r w:rsidR="005659AA">
        <w:rPr>
          <w:b/>
        </w:rPr>
        <w:t xml:space="preserve"> nach branchenspezifischem Index</w:t>
      </w:r>
      <w:r w:rsidRPr="00844FCF">
        <w:rPr>
          <w:b/>
        </w:rPr>
        <w:t>):</w:t>
      </w:r>
    </w:p>
    <w:p w14:paraId="5E4263F9" w14:textId="1B0889A0" w:rsidR="005827AA" w:rsidRDefault="005827AA" w:rsidP="005827AA">
      <w:pPr>
        <w:spacing w:after="240"/>
        <w:jc w:val="both"/>
        <w:rPr>
          <w:i/>
        </w:rPr>
      </w:pPr>
      <w:r>
        <w:rPr>
          <w:i/>
        </w:rPr>
        <w:t xml:space="preserve">Für die innerhalb von zwei Monaten ab Vertragsabschluss von </w:t>
      </w:r>
      <w:r w:rsidR="004151C0" w:rsidRPr="006D2BEE">
        <w:rPr>
          <w:rFonts w:cs="Arial"/>
          <w:i/>
          <w:highlight w:val="lightGray"/>
        </w:rPr>
        <w:t>[uns</w:t>
      </w:r>
      <w:bookmarkStart w:id="0" w:name="_Ref74390442"/>
      <w:r w:rsidR="004151C0" w:rsidRPr="006D2BEE">
        <w:rPr>
          <w:rStyle w:val="Funotenzeichen"/>
          <w:i/>
          <w:highlight w:val="lightGray"/>
        </w:rPr>
        <w:footnoteReference w:id="1"/>
      </w:r>
      <w:bookmarkEnd w:id="0"/>
      <w:r w:rsidR="004151C0" w:rsidRPr="006D2BEE">
        <w:rPr>
          <w:rFonts w:cs="Arial"/>
          <w:i/>
          <w:highlight w:val="lightGray"/>
        </w:rPr>
        <w:t>]</w:t>
      </w:r>
      <w:r w:rsidR="004151C0">
        <w:rPr>
          <w:i/>
        </w:rPr>
        <w:t xml:space="preserve"> </w:t>
      </w:r>
      <w:r>
        <w:rPr>
          <w:i/>
        </w:rPr>
        <w:t>zu erbringenden Leistungen sind die vereinbarten Preise Festpreise. Für die danach zu erbringenden Leistungen sind die vereinbarten Preise</w:t>
      </w:r>
      <w:r w:rsidR="00055C13">
        <w:rPr>
          <w:i/>
        </w:rPr>
        <w:t xml:space="preserve"> nach dem </w:t>
      </w:r>
      <w:r>
        <w:rPr>
          <w:i/>
        </w:rPr>
        <w:t xml:space="preserve">von </w:t>
      </w:r>
      <w:r w:rsidR="006D2BEE" w:rsidRPr="00517232">
        <w:rPr>
          <w:i/>
          <w:highlight w:val="lightGray"/>
        </w:rPr>
        <w:t>[</w:t>
      </w:r>
      <w:r w:rsidR="006D2BEE" w:rsidRPr="00517232">
        <w:rPr>
          <w:rFonts w:cs="Arial"/>
          <w:i/>
          <w:highlight w:val="lightGray"/>
        </w:rPr>
        <w:t>●</w:t>
      </w:r>
      <w:bookmarkStart w:id="1" w:name="_Ref74326136"/>
      <w:r w:rsidR="006D2BEE" w:rsidRPr="00517232">
        <w:rPr>
          <w:rStyle w:val="Funotenzeichen"/>
          <w:rFonts w:cs="Arial"/>
          <w:i/>
          <w:highlight w:val="lightGray"/>
        </w:rPr>
        <w:footnoteReference w:id="2"/>
      </w:r>
      <w:bookmarkEnd w:id="1"/>
      <w:r w:rsidR="006D2BEE" w:rsidRPr="00517232">
        <w:rPr>
          <w:rFonts w:cs="Arial"/>
          <w:i/>
          <w:highlight w:val="lightGray"/>
        </w:rPr>
        <w:t>]</w:t>
      </w:r>
      <w:r w:rsidR="00F571F6">
        <w:rPr>
          <w:i/>
        </w:rPr>
        <w:t xml:space="preserve"> </w:t>
      </w:r>
      <w:r>
        <w:rPr>
          <w:i/>
        </w:rPr>
        <w:t xml:space="preserve">veröffentlichen </w:t>
      </w:r>
      <w:r w:rsidR="00F571F6" w:rsidRPr="00517232">
        <w:rPr>
          <w:i/>
          <w:highlight w:val="lightGray"/>
        </w:rPr>
        <w:t>[</w:t>
      </w:r>
      <w:r w:rsidR="00F571F6" w:rsidRPr="00517232">
        <w:rPr>
          <w:rFonts w:cs="Arial"/>
          <w:i/>
          <w:highlight w:val="lightGray"/>
        </w:rPr>
        <w:t>●</w:t>
      </w:r>
      <w:r w:rsidR="00F571F6" w:rsidRPr="00517232">
        <w:rPr>
          <w:rStyle w:val="Funotenzeichen"/>
          <w:rFonts w:cs="Arial"/>
          <w:i/>
          <w:highlight w:val="lightGray"/>
        </w:rPr>
        <w:footnoteReference w:id="3"/>
      </w:r>
      <w:r w:rsidR="00F571F6" w:rsidRPr="00517232">
        <w:rPr>
          <w:rFonts w:cs="Arial"/>
          <w:i/>
          <w:highlight w:val="lightGray"/>
        </w:rPr>
        <w:t>]</w:t>
      </w:r>
      <w:r w:rsidR="00F571F6">
        <w:rPr>
          <w:rFonts w:cs="Arial"/>
          <w:i/>
        </w:rPr>
        <w:t xml:space="preserve"> (abrufbar unter </w:t>
      </w:r>
      <w:r w:rsidR="00F571F6" w:rsidRPr="00517232">
        <w:rPr>
          <w:i/>
          <w:highlight w:val="lightGray"/>
        </w:rPr>
        <w:t>[</w:t>
      </w:r>
      <w:r w:rsidR="00F571F6" w:rsidRPr="00517232">
        <w:rPr>
          <w:rFonts w:cs="Arial"/>
          <w:i/>
          <w:highlight w:val="lightGray"/>
        </w:rPr>
        <w:t>●</w:t>
      </w:r>
      <w:bookmarkStart w:id="2" w:name="_Ref75508666"/>
      <w:r w:rsidR="00F571F6" w:rsidRPr="00517232">
        <w:rPr>
          <w:rStyle w:val="Funotenzeichen"/>
          <w:rFonts w:cs="Arial"/>
          <w:i/>
          <w:highlight w:val="lightGray"/>
        </w:rPr>
        <w:footnoteReference w:id="4"/>
      </w:r>
      <w:bookmarkEnd w:id="2"/>
      <w:r w:rsidR="00F571F6" w:rsidRPr="00517232">
        <w:rPr>
          <w:rFonts w:cs="Arial"/>
          <w:i/>
          <w:highlight w:val="lightGray"/>
        </w:rPr>
        <w:t>]</w:t>
      </w:r>
      <w:r w:rsidR="00F571F6">
        <w:rPr>
          <w:rFonts w:cs="Arial"/>
          <w:i/>
        </w:rPr>
        <w:t>)</w:t>
      </w:r>
      <w:r>
        <w:rPr>
          <w:i/>
        </w:rPr>
        <w:t xml:space="preserve"> wertgesichert. Sie </w:t>
      </w:r>
      <w:r w:rsidRPr="00587201">
        <w:rPr>
          <w:i/>
        </w:rPr>
        <w:t>erhöhen oder vermindern sich</w:t>
      </w:r>
      <w:r w:rsidRPr="0030340F">
        <w:rPr>
          <w:i/>
        </w:rPr>
        <w:t xml:space="preserve"> </w:t>
      </w:r>
      <w:r w:rsidRPr="00587201">
        <w:rPr>
          <w:i/>
        </w:rPr>
        <w:t xml:space="preserve">in jenem Ausmaß, welcher der </w:t>
      </w:r>
      <w:r>
        <w:rPr>
          <w:i/>
        </w:rPr>
        <w:t>V</w:t>
      </w:r>
      <w:r w:rsidRPr="00587201">
        <w:rPr>
          <w:i/>
        </w:rPr>
        <w:t xml:space="preserve">eränderung </w:t>
      </w:r>
      <w:r>
        <w:rPr>
          <w:i/>
        </w:rPr>
        <w:t xml:space="preserve">des Index vom </w:t>
      </w:r>
      <w:r w:rsidR="00F571F6">
        <w:rPr>
          <w:i/>
        </w:rPr>
        <w:t xml:space="preserve">Zeitpunkt </w:t>
      </w:r>
      <w:r>
        <w:rPr>
          <w:i/>
        </w:rPr>
        <w:t xml:space="preserve">des </w:t>
      </w:r>
      <w:r w:rsidRPr="00587201">
        <w:rPr>
          <w:i/>
        </w:rPr>
        <w:t>Vertragsabschluss</w:t>
      </w:r>
      <w:r>
        <w:rPr>
          <w:i/>
        </w:rPr>
        <w:t>es</w:t>
      </w:r>
      <w:r w:rsidRPr="00587201">
        <w:rPr>
          <w:i/>
        </w:rPr>
        <w:t xml:space="preserve"> </w:t>
      </w:r>
      <w:r w:rsidR="00AC0532" w:rsidRPr="00AC0532">
        <w:rPr>
          <w:i/>
          <w:iCs/>
        </w:rPr>
        <w:t xml:space="preserve">bis zu </w:t>
      </w:r>
      <w:r w:rsidR="00F571F6">
        <w:rPr>
          <w:i/>
          <w:iCs/>
        </w:rPr>
        <w:t>jenem</w:t>
      </w:r>
      <w:r w:rsidR="00AC0532" w:rsidRPr="00AC0532">
        <w:rPr>
          <w:i/>
          <w:iCs/>
        </w:rPr>
        <w:t xml:space="preserve"> Zeitpunkt</w:t>
      </w:r>
      <w:r w:rsidR="00F571F6">
        <w:rPr>
          <w:i/>
          <w:iCs/>
        </w:rPr>
        <w:t xml:space="preserve">, zu dem </w:t>
      </w:r>
      <w:r w:rsidR="00F571F6" w:rsidRPr="00AC0532">
        <w:rPr>
          <w:i/>
          <w:iCs/>
        </w:rPr>
        <w:t xml:space="preserve">die Leistung </w:t>
      </w:r>
      <w:r w:rsidR="00F571F6">
        <w:rPr>
          <w:i/>
          <w:iCs/>
        </w:rPr>
        <w:t xml:space="preserve">frühestens </w:t>
      </w:r>
      <w:r w:rsidR="00F571F6" w:rsidRPr="00AC0532">
        <w:rPr>
          <w:i/>
          <w:iCs/>
        </w:rPr>
        <w:t>abgerechnet werden darf</w:t>
      </w:r>
      <w:r w:rsidR="00F571F6">
        <w:rPr>
          <w:i/>
          <w:iCs/>
        </w:rPr>
        <w:t xml:space="preserve">, </w:t>
      </w:r>
      <w:r w:rsidR="00AC0532">
        <w:rPr>
          <w:i/>
          <w:iCs/>
        </w:rPr>
        <w:t>entspricht</w:t>
      </w:r>
      <w:r w:rsidRPr="00587201">
        <w:rPr>
          <w:i/>
        </w:rPr>
        <w:t>.</w:t>
      </w:r>
      <w:r>
        <w:rPr>
          <w:i/>
        </w:rPr>
        <w:t xml:space="preserve"> Die derart angepassten Preise sind kaufmännisch auf ganze Cent-Beträge </w:t>
      </w:r>
      <w:r w:rsidR="009B295C">
        <w:rPr>
          <w:i/>
        </w:rPr>
        <w:t>(auf</w:t>
      </w:r>
      <w:r w:rsidR="00517232">
        <w:rPr>
          <w:i/>
        </w:rPr>
        <w:t>-</w:t>
      </w:r>
      <w:r w:rsidR="009B295C">
        <w:rPr>
          <w:i/>
        </w:rPr>
        <w:t xml:space="preserve"> oder ab</w:t>
      </w:r>
      <w:r w:rsidR="00517232">
        <w:rPr>
          <w:i/>
        </w:rPr>
        <w:t>-</w:t>
      </w:r>
      <w:r w:rsidR="009B295C">
        <w:rPr>
          <w:i/>
        </w:rPr>
        <w:t xml:space="preserve">) </w:t>
      </w:r>
      <w:r>
        <w:rPr>
          <w:i/>
        </w:rPr>
        <w:t>zu runden.</w:t>
      </w:r>
      <w:r w:rsidR="00517232" w:rsidRPr="00517232">
        <w:rPr>
          <w:i/>
        </w:rPr>
        <w:t xml:space="preserve"> </w:t>
      </w:r>
      <w:r w:rsidR="00517232">
        <w:rPr>
          <w:i/>
        </w:rPr>
        <w:t xml:space="preserve">Wird die mit dem Preis abgegoltene Leistung verspätet erbracht, findet für den Zeitraum der Verspätung keine Preisanpassung zu </w:t>
      </w:r>
      <w:r w:rsidR="00517232" w:rsidRPr="00F571F6">
        <w:rPr>
          <w:i/>
          <w:highlight w:val="lightGray"/>
        </w:rPr>
        <w:t>[unseren</w:t>
      </w:r>
      <w:r w:rsidR="00517232" w:rsidRPr="00F571F6">
        <w:rPr>
          <w:rStyle w:val="Funotenzeichen"/>
          <w:rFonts w:cs="Arial"/>
          <w:i/>
          <w:highlight w:val="lightGray"/>
        </w:rPr>
        <w:footnoteReference w:id="5"/>
      </w:r>
      <w:r w:rsidR="00517232" w:rsidRPr="00F571F6">
        <w:rPr>
          <w:rFonts w:cs="Arial"/>
          <w:i/>
          <w:highlight w:val="lightGray"/>
        </w:rPr>
        <w:t>]</w:t>
      </w:r>
      <w:r w:rsidR="00517232">
        <w:rPr>
          <w:i/>
        </w:rPr>
        <w:t xml:space="preserve"> Gunsten statt, außer </w:t>
      </w:r>
      <w:r w:rsidR="00517232" w:rsidRPr="00F571F6">
        <w:rPr>
          <w:i/>
          <w:highlight w:val="lightGray"/>
        </w:rPr>
        <w:t>[der Kunde</w:t>
      </w:r>
      <w:r w:rsidR="00517232" w:rsidRPr="00F571F6">
        <w:rPr>
          <w:rStyle w:val="Funotenzeichen"/>
          <w:rFonts w:cs="Arial"/>
          <w:i/>
          <w:highlight w:val="lightGray"/>
        </w:rPr>
        <w:footnoteReference w:id="6"/>
      </w:r>
      <w:r w:rsidR="00517232" w:rsidRPr="00F571F6">
        <w:rPr>
          <w:i/>
          <w:highlight w:val="lightGray"/>
        </w:rPr>
        <w:t>]</w:t>
      </w:r>
      <w:r w:rsidR="00517232">
        <w:rPr>
          <w:i/>
        </w:rPr>
        <w:t xml:space="preserve"> hätte die Verspätung verschuldet.</w:t>
      </w:r>
    </w:p>
    <w:p w14:paraId="337F70AC" w14:textId="4C6FC6A3" w:rsidR="005659AA" w:rsidRPr="00844FCF" w:rsidRDefault="005659AA" w:rsidP="005659AA">
      <w:pPr>
        <w:spacing w:after="240"/>
        <w:jc w:val="both"/>
        <w:rPr>
          <w:b/>
        </w:rPr>
      </w:pPr>
      <w:r>
        <w:rPr>
          <w:b/>
        </w:rPr>
        <w:t>Klausel</w:t>
      </w:r>
      <w:r w:rsidRPr="00844FCF">
        <w:rPr>
          <w:b/>
        </w:rPr>
        <w:t xml:space="preserve"> </w:t>
      </w:r>
      <w:r w:rsidR="006A6925">
        <w:rPr>
          <w:b/>
        </w:rPr>
        <w:t>2</w:t>
      </w:r>
      <w:r w:rsidR="006A6925" w:rsidRPr="00844FCF">
        <w:rPr>
          <w:b/>
        </w:rPr>
        <w:t xml:space="preserve"> </w:t>
      </w:r>
      <w:r w:rsidRPr="00844FCF">
        <w:rPr>
          <w:b/>
        </w:rPr>
        <w:t>(Indexierung</w:t>
      </w:r>
      <w:r>
        <w:rPr>
          <w:b/>
        </w:rPr>
        <w:t xml:space="preserve"> nach bestimmtem Rohstoffindex</w:t>
      </w:r>
      <w:r w:rsidRPr="00844FCF">
        <w:rPr>
          <w:b/>
        </w:rPr>
        <w:t>):</w:t>
      </w:r>
    </w:p>
    <w:p w14:paraId="2B01BA23" w14:textId="7AA66170" w:rsidR="009D59C0" w:rsidRDefault="009D59C0" w:rsidP="009D59C0">
      <w:pPr>
        <w:spacing w:after="240"/>
        <w:jc w:val="both"/>
        <w:rPr>
          <w:i/>
        </w:rPr>
      </w:pPr>
      <w:r>
        <w:rPr>
          <w:i/>
        </w:rPr>
        <w:t xml:space="preserve">Für die innerhalb von zwei Monaten ab Vertragsabschluss von </w:t>
      </w:r>
      <w:r w:rsidRPr="006D2BEE">
        <w:rPr>
          <w:rFonts w:cs="Arial"/>
          <w:i/>
          <w:highlight w:val="lightGray"/>
        </w:rPr>
        <w:t>[uns</w:t>
      </w:r>
      <w:r w:rsidRPr="006D2BEE">
        <w:rPr>
          <w:rStyle w:val="Funotenzeichen"/>
          <w:i/>
          <w:highlight w:val="lightGray"/>
        </w:rPr>
        <w:footnoteReference w:id="7"/>
      </w:r>
      <w:r w:rsidRPr="006D2BEE">
        <w:rPr>
          <w:rFonts w:cs="Arial"/>
          <w:i/>
          <w:highlight w:val="lightGray"/>
        </w:rPr>
        <w:t>]</w:t>
      </w:r>
      <w:r>
        <w:rPr>
          <w:i/>
        </w:rPr>
        <w:t xml:space="preserve"> zu erbringenden Leistungen sind die vereinbarten Preise Festpreise. Für die danach zu erbringenden Leistungen sind die vereinbarten Preise </w:t>
      </w:r>
      <w:r w:rsidR="00384A27">
        <w:rPr>
          <w:i/>
        </w:rPr>
        <w:t xml:space="preserve">zu </w:t>
      </w:r>
      <w:r>
        <w:rPr>
          <w:i/>
        </w:rPr>
        <w:t xml:space="preserve">einem </w:t>
      </w:r>
      <w:r w:rsidR="00384A27">
        <w:rPr>
          <w:i/>
        </w:rPr>
        <w:t xml:space="preserve">Anteil </w:t>
      </w:r>
      <w:r>
        <w:rPr>
          <w:i/>
        </w:rPr>
        <w:t xml:space="preserve">von </w:t>
      </w:r>
      <w:r w:rsidRPr="00517232">
        <w:rPr>
          <w:i/>
          <w:highlight w:val="lightGray"/>
        </w:rPr>
        <w:t>[</w:t>
      </w:r>
      <w:r w:rsidRPr="00517232">
        <w:rPr>
          <w:rFonts w:cs="Arial"/>
          <w:i/>
          <w:highlight w:val="lightGray"/>
        </w:rPr>
        <w:t>●</w:t>
      </w:r>
      <w:bookmarkStart w:id="3" w:name="_Ref75420722"/>
      <w:r w:rsidRPr="00517232">
        <w:rPr>
          <w:rStyle w:val="Funotenzeichen"/>
          <w:rFonts w:cs="Arial"/>
          <w:i/>
          <w:highlight w:val="lightGray"/>
        </w:rPr>
        <w:footnoteReference w:id="8"/>
      </w:r>
      <w:bookmarkEnd w:id="3"/>
      <w:r w:rsidRPr="00517232">
        <w:rPr>
          <w:rFonts w:cs="Arial"/>
          <w:i/>
          <w:highlight w:val="lightGray"/>
        </w:rPr>
        <w:t>]</w:t>
      </w:r>
      <w:r w:rsidRPr="009D59C0">
        <w:rPr>
          <w:rFonts w:cs="Arial"/>
          <w:i/>
        </w:rPr>
        <w:t> </w:t>
      </w:r>
      <w:r>
        <w:rPr>
          <w:rFonts w:cs="Arial"/>
          <w:i/>
        </w:rPr>
        <w:t>%</w:t>
      </w:r>
      <w:r>
        <w:rPr>
          <w:i/>
        </w:rPr>
        <w:t xml:space="preserve"> nach dem von </w:t>
      </w:r>
      <w:r w:rsidRPr="00517232">
        <w:rPr>
          <w:i/>
          <w:highlight w:val="lightGray"/>
        </w:rPr>
        <w:t>[</w:t>
      </w:r>
      <w:r w:rsidRPr="00517232">
        <w:rPr>
          <w:rFonts w:cs="Arial"/>
          <w:i/>
          <w:highlight w:val="lightGray"/>
        </w:rPr>
        <w:t>●</w:t>
      </w:r>
      <w:r w:rsidRPr="00517232">
        <w:rPr>
          <w:rStyle w:val="Funotenzeichen"/>
          <w:rFonts w:cs="Arial"/>
          <w:i/>
          <w:highlight w:val="lightGray"/>
        </w:rPr>
        <w:footnoteReference w:id="9"/>
      </w:r>
      <w:r w:rsidRPr="00517232">
        <w:rPr>
          <w:rFonts w:cs="Arial"/>
          <w:i/>
          <w:highlight w:val="lightGray"/>
        </w:rPr>
        <w:t>]</w:t>
      </w:r>
      <w:r>
        <w:rPr>
          <w:i/>
        </w:rPr>
        <w:t xml:space="preserve"> veröffentlichen </w:t>
      </w:r>
      <w:r w:rsidRPr="00517232">
        <w:rPr>
          <w:i/>
          <w:highlight w:val="lightGray"/>
        </w:rPr>
        <w:t>[</w:t>
      </w:r>
      <w:r w:rsidRPr="00517232">
        <w:rPr>
          <w:rFonts w:cs="Arial"/>
          <w:i/>
          <w:highlight w:val="lightGray"/>
        </w:rPr>
        <w:t>●</w:t>
      </w:r>
      <w:r w:rsidRPr="00517232">
        <w:rPr>
          <w:rStyle w:val="Funotenzeichen"/>
          <w:rFonts w:cs="Arial"/>
          <w:i/>
          <w:highlight w:val="lightGray"/>
        </w:rPr>
        <w:footnoteReference w:id="10"/>
      </w:r>
      <w:r w:rsidRPr="00517232">
        <w:rPr>
          <w:rFonts w:cs="Arial"/>
          <w:i/>
          <w:highlight w:val="lightGray"/>
        </w:rPr>
        <w:t>]</w:t>
      </w:r>
      <w:r>
        <w:rPr>
          <w:rFonts w:cs="Arial"/>
          <w:i/>
        </w:rPr>
        <w:t xml:space="preserve"> (abrufbar unter </w:t>
      </w:r>
      <w:r w:rsidRPr="00517232">
        <w:rPr>
          <w:i/>
          <w:highlight w:val="lightGray"/>
        </w:rPr>
        <w:t>[</w:t>
      </w:r>
      <w:r w:rsidRPr="00517232">
        <w:rPr>
          <w:rFonts w:cs="Arial"/>
          <w:i/>
          <w:highlight w:val="lightGray"/>
        </w:rPr>
        <w:t>●</w:t>
      </w:r>
      <w:r w:rsidRPr="00517232">
        <w:rPr>
          <w:rStyle w:val="Funotenzeichen"/>
          <w:rFonts w:cs="Arial"/>
          <w:i/>
          <w:highlight w:val="lightGray"/>
        </w:rPr>
        <w:footnoteReference w:id="11"/>
      </w:r>
      <w:r w:rsidRPr="00517232">
        <w:rPr>
          <w:rFonts w:cs="Arial"/>
          <w:i/>
          <w:highlight w:val="lightGray"/>
        </w:rPr>
        <w:t>]</w:t>
      </w:r>
      <w:r>
        <w:rPr>
          <w:rFonts w:cs="Arial"/>
          <w:i/>
        </w:rPr>
        <w:t>)</w:t>
      </w:r>
      <w:r>
        <w:rPr>
          <w:i/>
        </w:rPr>
        <w:t xml:space="preserve"> wertgesichert. </w:t>
      </w:r>
      <w:r w:rsidR="00384A27">
        <w:rPr>
          <w:i/>
        </w:rPr>
        <w:t xml:space="preserve">Der veränderliche Preisanteil </w:t>
      </w:r>
      <w:r w:rsidRPr="00587201">
        <w:rPr>
          <w:i/>
        </w:rPr>
        <w:t>erhöh</w:t>
      </w:r>
      <w:r w:rsidR="00384A27">
        <w:rPr>
          <w:i/>
        </w:rPr>
        <w:t>t</w:t>
      </w:r>
      <w:r w:rsidRPr="00587201">
        <w:rPr>
          <w:i/>
        </w:rPr>
        <w:t xml:space="preserve"> oder verminder</w:t>
      </w:r>
      <w:r w:rsidR="00384A27">
        <w:rPr>
          <w:i/>
        </w:rPr>
        <w:t>t</w:t>
      </w:r>
      <w:r w:rsidRPr="00587201">
        <w:rPr>
          <w:i/>
        </w:rPr>
        <w:t xml:space="preserve"> sich</w:t>
      </w:r>
      <w:r w:rsidRPr="0030340F">
        <w:rPr>
          <w:i/>
        </w:rPr>
        <w:t xml:space="preserve"> </w:t>
      </w:r>
      <w:r w:rsidR="00316A28" w:rsidRPr="00587201">
        <w:rPr>
          <w:i/>
        </w:rPr>
        <w:lastRenderedPageBreak/>
        <w:t>in jenem Ausmaß</w:t>
      </w:r>
      <w:r w:rsidRPr="00587201">
        <w:rPr>
          <w:i/>
        </w:rPr>
        <w:t xml:space="preserve">, welcher der </w:t>
      </w:r>
      <w:r>
        <w:rPr>
          <w:i/>
        </w:rPr>
        <w:t>V</w:t>
      </w:r>
      <w:r w:rsidRPr="00587201">
        <w:rPr>
          <w:i/>
        </w:rPr>
        <w:t xml:space="preserve">eränderung </w:t>
      </w:r>
      <w:r>
        <w:rPr>
          <w:i/>
        </w:rPr>
        <w:t xml:space="preserve">des Index vom Zeitpunkt des </w:t>
      </w:r>
      <w:r w:rsidRPr="00587201">
        <w:rPr>
          <w:i/>
        </w:rPr>
        <w:t>Vertragsabschluss</w:t>
      </w:r>
      <w:r>
        <w:rPr>
          <w:i/>
        </w:rPr>
        <w:t>es</w:t>
      </w:r>
      <w:r w:rsidRPr="00587201">
        <w:rPr>
          <w:i/>
        </w:rPr>
        <w:t xml:space="preserve"> </w:t>
      </w:r>
      <w:r w:rsidRPr="00AC0532">
        <w:rPr>
          <w:i/>
          <w:iCs/>
        </w:rPr>
        <w:t xml:space="preserve">bis zu </w:t>
      </w:r>
      <w:r>
        <w:rPr>
          <w:i/>
          <w:iCs/>
        </w:rPr>
        <w:t>jenem</w:t>
      </w:r>
      <w:r w:rsidRPr="00AC0532">
        <w:rPr>
          <w:i/>
          <w:iCs/>
        </w:rPr>
        <w:t xml:space="preserve"> Zeitpunkt</w:t>
      </w:r>
      <w:r>
        <w:rPr>
          <w:i/>
          <w:iCs/>
        </w:rPr>
        <w:t xml:space="preserve">, zu dem </w:t>
      </w:r>
      <w:r w:rsidRPr="00AC0532">
        <w:rPr>
          <w:i/>
          <w:iCs/>
        </w:rPr>
        <w:t xml:space="preserve">die Leistung </w:t>
      </w:r>
      <w:r>
        <w:rPr>
          <w:i/>
          <w:iCs/>
        </w:rPr>
        <w:t xml:space="preserve">frühestens </w:t>
      </w:r>
      <w:r w:rsidRPr="00AC0532">
        <w:rPr>
          <w:i/>
          <w:iCs/>
        </w:rPr>
        <w:t>abgerechnet werden darf</w:t>
      </w:r>
      <w:r>
        <w:rPr>
          <w:i/>
          <w:iCs/>
        </w:rPr>
        <w:t>, entspricht</w:t>
      </w:r>
      <w:r w:rsidRPr="00587201">
        <w:rPr>
          <w:i/>
        </w:rPr>
        <w:t>.</w:t>
      </w:r>
      <w:r>
        <w:rPr>
          <w:i/>
        </w:rPr>
        <w:t xml:space="preserve"> Die derart angepassten Preise sind kaufmännisch auf ganze Cent-Beträge (auf- oder ab-) zu runden.</w:t>
      </w:r>
      <w:r w:rsidRPr="00517232">
        <w:rPr>
          <w:i/>
        </w:rPr>
        <w:t xml:space="preserve"> </w:t>
      </w:r>
      <w:r>
        <w:rPr>
          <w:i/>
        </w:rPr>
        <w:t xml:space="preserve">Wird die mit dem Preis abgegoltene Leistung verspätet erbracht, findet für den Zeitraum der Verspätung keine Preisanpassung zu </w:t>
      </w:r>
      <w:r w:rsidRPr="00F571F6">
        <w:rPr>
          <w:i/>
          <w:highlight w:val="lightGray"/>
        </w:rPr>
        <w:t>[unseren</w:t>
      </w:r>
      <w:r w:rsidRPr="00F571F6">
        <w:rPr>
          <w:rStyle w:val="Funotenzeichen"/>
          <w:rFonts w:cs="Arial"/>
          <w:i/>
          <w:highlight w:val="lightGray"/>
        </w:rPr>
        <w:footnoteReference w:id="12"/>
      </w:r>
      <w:r w:rsidRPr="00F571F6">
        <w:rPr>
          <w:rFonts w:cs="Arial"/>
          <w:i/>
          <w:highlight w:val="lightGray"/>
        </w:rPr>
        <w:t>]</w:t>
      </w:r>
      <w:r>
        <w:rPr>
          <w:i/>
        </w:rPr>
        <w:t xml:space="preserve"> Gunsten statt, außer </w:t>
      </w:r>
      <w:r w:rsidRPr="00F571F6">
        <w:rPr>
          <w:i/>
          <w:highlight w:val="lightGray"/>
        </w:rPr>
        <w:t>[der Kunde</w:t>
      </w:r>
      <w:r w:rsidRPr="00F571F6">
        <w:rPr>
          <w:rStyle w:val="Funotenzeichen"/>
          <w:rFonts w:cs="Arial"/>
          <w:i/>
          <w:highlight w:val="lightGray"/>
        </w:rPr>
        <w:footnoteReference w:id="13"/>
      </w:r>
      <w:r w:rsidRPr="00F571F6">
        <w:rPr>
          <w:i/>
          <w:highlight w:val="lightGray"/>
        </w:rPr>
        <w:t>]</w:t>
      </w:r>
      <w:r>
        <w:rPr>
          <w:i/>
        </w:rPr>
        <w:t xml:space="preserve"> hätte die Verspätung verschuldet.</w:t>
      </w:r>
    </w:p>
    <w:p w14:paraId="6607BFA4" w14:textId="2F35F913" w:rsidR="00300122" w:rsidRPr="00950F9B" w:rsidRDefault="003A489F" w:rsidP="00316A28">
      <w:pPr>
        <w:keepNext/>
        <w:spacing w:before="480" w:after="240"/>
        <w:jc w:val="center"/>
        <w:rPr>
          <w:b/>
        </w:rPr>
      </w:pPr>
      <w:r>
        <w:rPr>
          <w:b/>
        </w:rPr>
        <w:t>Allgemeine</w:t>
      </w:r>
      <w:r w:rsidR="00C54DCB">
        <w:rPr>
          <w:b/>
        </w:rPr>
        <w:t xml:space="preserve"> </w:t>
      </w:r>
      <w:r w:rsidR="00300122" w:rsidRPr="00950F9B">
        <w:rPr>
          <w:b/>
        </w:rPr>
        <w:t>Hinweise zur Verwendung:</w:t>
      </w:r>
    </w:p>
    <w:p w14:paraId="4384519E" w14:textId="60C41F50" w:rsidR="00400240" w:rsidRPr="006B35FF" w:rsidRDefault="00300122" w:rsidP="00316A28">
      <w:pPr>
        <w:pStyle w:val="Listenabsatz"/>
        <w:numPr>
          <w:ilvl w:val="0"/>
          <w:numId w:val="5"/>
        </w:numPr>
        <w:spacing w:after="240" w:line="276" w:lineRule="auto"/>
        <w:ind w:left="425" w:hanging="425"/>
        <w:contextualSpacing w:val="0"/>
        <w:jc w:val="both"/>
        <w:rPr>
          <w:b/>
        </w:rPr>
      </w:pPr>
      <w:r w:rsidRPr="00400240">
        <w:rPr>
          <w:b/>
        </w:rPr>
        <w:t>Anwendungsbereich:</w:t>
      </w:r>
      <w:r w:rsidR="00217D03" w:rsidRPr="00400240">
        <w:rPr>
          <w:b/>
        </w:rPr>
        <w:t xml:space="preserve"> </w:t>
      </w:r>
      <w:r w:rsidRPr="00400240">
        <w:t xml:space="preserve">Diese </w:t>
      </w:r>
      <w:r w:rsidR="00217D03" w:rsidRPr="00400240">
        <w:t>Musterk</w:t>
      </w:r>
      <w:r w:rsidRPr="00400240">
        <w:t xml:space="preserve">lausel </w:t>
      </w:r>
      <w:r w:rsidR="00217D03" w:rsidRPr="00400240">
        <w:t>wurde</w:t>
      </w:r>
      <w:r w:rsidRPr="00400240">
        <w:t xml:space="preserve"> für Verträge </w:t>
      </w:r>
      <w:r w:rsidR="00217D03" w:rsidRPr="00400240">
        <w:t xml:space="preserve">konzipiert, die Sie als Unternehmer mit einem </w:t>
      </w:r>
      <w:r w:rsidR="00217D03" w:rsidRPr="00D46173">
        <w:rPr>
          <w:b/>
        </w:rPr>
        <w:t>Verbraucher</w:t>
      </w:r>
      <w:r w:rsidR="00217D03" w:rsidRPr="00400240">
        <w:t xml:space="preserve"> im Sinne des </w:t>
      </w:r>
      <w:r w:rsidR="00693940" w:rsidRPr="00400240">
        <w:t>§ </w:t>
      </w:r>
      <w:r w:rsidR="00B57F7A" w:rsidRPr="00400240">
        <w:t xml:space="preserve">1 des </w:t>
      </w:r>
      <w:r w:rsidR="00217D03" w:rsidRPr="00400240">
        <w:t xml:space="preserve">Konsumentenschutzgesetzes (KSchG) abschließen. </w:t>
      </w:r>
      <w:r w:rsidR="00587201" w:rsidRPr="00400240">
        <w:t xml:space="preserve">Die rechtlichen Möglichkeiten zur Preisanpassung sind hier gesetzlich </w:t>
      </w:r>
      <w:r w:rsidR="00B57F7A" w:rsidRPr="00400240">
        <w:rPr>
          <w:i/>
        </w:rPr>
        <w:t xml:space="preserve">sehr </w:t>
      </w:r>
      <w:r w:rsidR="00587201" w:rsidRPr="00400240">
        <w:rPr>
          <w:i/>
        </w:rPr>
        <w:t>stark</w:t>
      </w:r>
      <w:r w:rsidR="00587201" w:rsidRPr="00400240">
        <w:t xml:space="preserve"> eingeschränkt (s</w:t>
      </w:r>
      <w:r w:rsidR="00271ACD" w:rsidRPr="00400240">
        <w:t xml:space="preserve">iehe die folgenden </w:t>
      </w:r>
      <w:r w:rsidR="00314145">
        <w:t>Hinweise</w:t>
      </w:r>
      <w:r w:rsidR="00587201" w:rsidRPr="00400240">
        <w:t xml:space="preserve">). </w:t>
      </w:r>
      <w:r w:rsidRPr="00400240">
        <w:t>Als Verbraucher gelten auch natürliche Personen, die im Zuge der Gründung ihres Unternehmens sog Gründungsgeschäfte abschließen (</w:t>
      </w:r>
      <w:r w:rsidR="00693940" w:rsidRPr="00400240">
        <w:t>§ </w:t>
      </w:r>
      <w:r w:rsidRPr="00400240">
        <w:t>1</w:t>
      </w:r>
      <w:r w:rsidR="00693940" w:rsidRPr="00400240">
        <w:t xml:space="preserve"> Abs </w:t>
      </w:r>
      <w:r w:rsidRPr="00400240">
        <w:t>3 KSchG: „Geschäfte, die eine natürliche Person vor Aufnahme des Betriebes ihres Unternehmens zur Schaffung der Voraussetzungen dafür tätigt“).</w:t>
      </w:r>
      <w:r w:rsidR="00217D03" w:rsidRPr="00400240">
        <w:t xml:space="preserve"> Für Verträge mit Unternehmern stehen andere, dafür passende Muster zur Verfügung.</w:t>
      </w:r>
      <w:r w:rsidR="00217D03" w:rsidRPr="00400240">
        <w:rPr>
          <w:b/>
        </w:rPr>
        <w:t xml:space="preserve"> </w:t>
      </w:r>
    </w:p>
    <w:p w14:paraId="78D77059" w14:textId="7D4DF6DC" w:rsidR="00400240" w:rsidRPr="006B35FF" w:rsidRDefault="00587201" w:rsidP="00316A28">
      <w:pPr>
        <w:pStyle w:val="Listenabsatz"/>
        <w:numPr>
          <w:ilvl w:val="0"/>
          <w:numId w:val="5"/>
        </w:numPr>
        <w:spacing w:after="240" w:line="276" w:lineRule="auto"/>
        <w:ind w:left="425" w:hanging="425"/>
        <w:contextualSpacing w:val="0"/>
        <w:jc w:val="both"/>
        <w:rPr>
          <w:b/>
        </w:rPr>
      </w:pPr>
      <w:r w:rsidRPr="00400240">
        <w:rPr>
          <w:b/>
        </w:rPr>
        <w:t>Ausschluss von Preiserhöhungen für die ersten zwei Monate</w:t>
      </w:r>
      <w:r w:rsidR="006B2BCD" w:rsidRPr="00400240">
        <w:rPr>
          <w:b/>
        </w:rPr>
        <w:t xml:space="preserve">: </w:t>
      </w:r>
      <w:r w:rsidRPr="00400240">
        <w:t xml:space="preserve">Für </w:t>
      </w:r>
      <w:r w:rsidR="00B57F7A" w:rsidRPr="00400240">
        <w:t xml:space="preserve">Leistungen, </w:t>
      </w:r>
      <w:r w:rsidRPr="00400240">
        <w:t xml:space="preserve">die </w:t>
      </w:r>
      <w:r w:rsidR="00B57F7A" w:rsidRPr="00400240">
        <w:t xml:space="preserve">in den </w:t>
      </w:r>
      <w:r w:rsidRPr="00400240">
        <w:t xml:space="preserve">ersten zwei Monate nach Vertragsabschluss </w:t>
      </w:r>
      <w:r w:rsidR="00B57F7A" w:rsidRPr="00400240">
        <w:t xml:space="preserve">zu erbringen sind, </w:t>
      </w:r>
      <w:r w:rsidRPr="00400240">
        <w:t xml:space="preserve">schließt </w:t>
      </w:r>
      <w:r w:rsidR="00693940" w:rsidRPr="00400240">
        <w:t>§ </w:t>
      </w:r>
      <w:r w:rsidRPr="00400240">
        <w:t>6</w:t>
      </w:r>
      <w:r w:rsidR="00693940" w:rsidRPr="00400240">
        <w:t xml:space="preserve"> Abs </w:t>
      </w:r>
      <w:r w:rsidRPr="00400240">
        <w:t>2</w:t>
      </w:r>
      <w:r w:rsidR="00693940" w:rsidRPr="00400240">
        <w:t xml:space="preserve"> Z </w:t>
      </w:r>
      <w:r w:rsidRPr="00400240">
        <w:t xml:space="preserve">4 KSchG </w:t>
      </w:r>
      <w:r w:rsidR="0096547A" w:rsidRPr="00400240">
        <w:t>jegliche</w:t>
      </w:r>
      <w:r w:rsidR="00271ACD" w:rsidRPr="00400240">
        <w:t xml:space="preserve"> </w:t>
      </w:r>
      <w:r w:rsidRPr="00400240">
        <w:t>Preise</w:t>
      </w:r>
      <w:r w:rsidR="006D3F9A" w:rsidRPr="00400240">
        <w:t xml:space="preserve">rhöhungen </w:t>
      </w:r>
      <w:r w:rsidR="00271ACD" w:rsidRPr="00400240">
        <w:t xml:space="preserve">zugunsten </w:t>
      </w:r>
      <w:r w:rsidR="006D3F9A" w:rsidRPr="00400240">
        <w:t>des Unternehmers aus</w:t>
      </w:r>
      <w:r w:rsidR="007A32A2" w:rsidRPr="00400240">
        <w:t xml:space="preserve"> (was in der Preisanpassungsklausel ausdrücklich berücksichtigt werden muss: 2</w:t>
      </w:r>
      <w:r w:rsidR="00B212E3" w:rsidRPr="00400240">
        <w:t> Ob </w:t>
      </w:r>
      <w:r w:rsidR="007A32A2" w:rsidRPr="00400240">
        <w:t>198/10x)</w:t>
      </w:r>
      <w:r w:rsidR="006D3F9A" w:rsidRPr="00400240">
        <w:t xml:space="preserve">. Abweichende Regelungen müssten mit </w:t>
      </w:r>
      <w:r w:rsidR="00271ACD" w:rsidRPr="00400240">
        <w:t>einem</w:t>
      </w:r>
      <w:r w:rsidR="006D3F9A" w:rsidRPr="00400240">
        <w:t xml:space="preserve"> Verbraucher „im </w:t>
      </w:r>
      <w:r w:rsidR="00271ACD" w:rsidRPr="00400240">
        <w:t>E</w:t>
      </w:r>
      <w:r w:rsidR="006D3F9A" w:rsidRPr="00400240">
        <w:t>inzelnen ausgehandelt“ werden; die Beweislast dafür trifft den Unternehmer.</w:t>
      </w:r>
      <w:r w:rsidR="004F4119" w:rsidRPr="00400240">
        <w:t xml:space="preserve"> In der Praxis des Massengeschäfts ist diese Anforderung nicht zu erfüllen</w:t>
      </w:r>
      <w:r w:rsidR="00271ACD" w:rsidRPr="00400240">
        <w:t xml:space="preserve"> (siehe nur </w:t>
      </w:r>
      <w:r w:rsidR="00271ACD" w:rsidRPr="00400240">
        <w:rPr>
          <w:lang w:val="de-DE"/>
        </w:rPr>
        <w:t>7 Ob 154/13t)</w:t>
      </w:r>
      <w:r w:rsidR="004F4119" w:rsidRPr="00400240">
        <w:t xml:space="preserve">; sobald die Klausel in einem Vertragsformular oder in AGB enthalten ist, gelingt dem Unternehmer der Beweis in aller Regel </w:t>
      </w:r>
      <w:r w:rsidR="00271ACD" w:rsidRPr="00400240">
        <w:t xml:space="preserve">(auch) </w:t>
      </w:r>
      <w:r w:rsidR="004F4119" w:rsidRPr="00400240">
        <w:t>nicht.</w:t>
      </w:r>
      <w:r w:rsidR="006A12AA" w:rsidRPr="00400240">
        <w:t xml:space="preserve"> Für alle praktischen Belange sind daher Preiserhöhungen in den ersten zwei Monaten ausgeschlossen.</w:t>
      </w:r>
    </w:p>
    <w:p w14:paraId="18B88343" w14:textId="5A74C980" w:rsidR="00400240" w:rsidRPr="00EF6C28" w:rsidRDefault="00AC0532" w:rsidP="00316A28">
      <w:pPr>
        <w:pStyle w:val="Listenabsatz"/>
        <w:numPr>
          <w:ilvl w:val="0"/>
          <w:numId w:val="5"/>
        </w:numPr>
        <w:spacing w:after="240" w:line="276" w:lineRule="auto"/>
        <w:ind w:left="425" w:hanging="425"/>
        <w:contextualSpacing w:val="0"/>
        <w:jc w:val="both"/>
        <w:rPr>
          <w:b/>
        </w:rPr>
      </w:pPr>
      <w:r w:rsidRPr="00400240">
        <w:rPr>
          <w:b/>
        </w:rPr>
        <w:t>Keine Preiserhöhung wegen eigene</w:t>
      </w:r>
      <w:r w:rsidR="00C241F9" w:rsidRPr="00400240">
        <w:rPr>
          <w:b/>
        </w:rPr>
        <w:t>n</w:t>
      </w:r>
      <w:r w:rsidRPr="00400240">
        <w:rPr>
          <w:b/>
        </w:rPr>
        <w:t xml:space="preserve"> Verzug</w:t>
      </w:r>
      <w:r w:rsidR="00C241F9" w:rsidRPr="00400240">
        <w:rPr>
          <w:b/>
        </w:rPr>
        <w:t>s:</w:t>
      </w:r>
      <w:r w:rsidRPr="00400240">
        <w:rPr>
          <w:b/>
          <w:i/>
        </w:rPr>
        <w:t xml:space="preserve"> </w:t>
      </w:r>
      <w:r w:rsidRPr="00400240">
        <w:rPr>
          <w:i/>
        </w:rPr>
        <w:t>Zugunsten des Verbrauchers</w:t>
      </w:r>
      <w:r w:rsidRPr="00400240">
        <w:t xml:space="preserve"> muss im </w:t>
      </w:r>
      <w:proofErr w:type="spellStart"/>
      <w:r w:rsidRPr="00400240">
        <w:t>Klauseltext</w:t>
      </w:r>
      <w:proofErr w:type="spellEnd"/>
      <w:r w:rsidRPr="00400240">
        <w:t xml:space="preserve"> zwingend klargestellt werden, dass </w:t>
      </w:r>
      <w:r w:rsidR="00C241F9" w:rsidRPr="00400240">
        <w:t xml:space="preserve">der Unternehmer nicht wegen seines eigenen Lieferverzugs zu Preiserhöhungen berechtigt ist, weil sich der maßgebliche Wertmesser währenddessen zu Gunsten </w:t>
      </w:r>
      <w:r w:rsidR="00414B89">
        <w:t xml:space="preserve">des Unternehmers </w:t>
      </w:r>
      <w:r w:rsidR="00C241F9" w:rsidRPr="00400240">
        <w:t>entwickelt</w:t>
      </w:r>
      <w:r w:rsidR="00414B89">
        <w:t>: Der Unternehmer darf nicht von seinem eigenen Verzug durch höhere Preise profitieren.</w:t>
      </w:r>
      <w:r w:rsidR="00C241F9" w:rsidRPr="00400240">
        <w:t xml:space="preserve"> Ohne diese Klarstellung</w:t>
      </w:r>
      <w:r w:rsidRPr="00400240">
        <w:t xml:space="preserve"> </w:t>
      </w:r>
      <w:r w:rsidR="00C241F9" w:rsidRPr="00400240">
        <w:t>würde die Klausel in</w:t>
      </w:r>
      <w:r w:rsidRPr="00400240">
        <w:t xml:space="preserve"> „kundenfeindlichster Auslegung“ gegen § 879 Abs 3 ABGB verst</w:t>
      </w:r>
      <w:r w:rsidR="00C241F9" w:rsidRPr="00400240">
        <w:t>oßen</w:t>
      </w:r>
      <w:r w:rsidRPr="00400240">
        <w:t xml:space="preserve"> (</w:t>
      </w:r>
      <w:proofErr w:type="spellStart"/>
      <w:r w:rsidRPr="00400240">
        <w:t>vgl</w:t>
      </w:r>
      <w:proofErr w:type="spellEnd"/>
      <w:r w:rsidR="00271ACD" w:rsidRPr="00400240">
        <w:t xml:space="preserve"> </w:t>
      </w:r>
      <w:r w:rsidRPr="00400240">
        <w:t>RIS-Justiz RS0121395).</w:t>
      </w:r>
      <w:r w:rsidR="00230C1F">
        <w:t xml:space="preserve"> Die Preiserhöhung ist auch ausgeschlossen, wenn den Unternehmer kein Verschulden am Verzug trifft</w:t>
      </w:r>
      <w:r w:rsidR="00414B89">
        <w:t>,</w:t>
      </w:r>
      <w:r w:rsidR="00230C1F">
        <w:t xml:space="preserve"> etwa wegen unvorhersehbarer Verzögerungen in der Lieferkette</w:t>
      </w:r>
      <w:r w:rsidR="00414B89">
        <w:t xml:space="preserve"> („objektiver Verzug“</w:t>
      </w:r>
      <w:r w:rsidR="00230C1F">
        <w:t xml:space="preserve">). Indexklauseln bieten daher keine Lösung für </w:t>
      </w:r>
      <w:proofErr w:type="gramStart"/>
      <w:r w:rsidR="00230C1F">
        <w:t>potentielle</w:t>
      </w:r>
      <w:proofErr w:type="gramEnd"/>
      <w:r w:rsidR="00230C1F">
        <w:t xml:space="preserve"> Lieferschwierigkeiten, außer es werden gleichzeitig ausreichend</w:t>
      </w:r>
      <w:r w:rsidR="00EF6C28">
        <w:t xml:space="preserve"> lange Lieferfristen vereinbart!</w:t>
      </w:r>
    </w:p>
    <w:p w14:paraId="21E181C8" w14:textId="30C3F059" w:rsidR="003A489F" w:rsidRPr="00400240" w:rsidRDefault="00961E44" w:rsidP="00316A28">
      <w:pPr>
        <w:pStyle w:val="Listenabsatz"/>
        <w:numPr>
          <w:ilvl w:val="0"/>
          <w:numId w:val="5"/>
        </w:numPr>
        <w:spacing w:after="240" w:line="276" w:lineRule="auto"/>
        <w:ind w:left="425" w:hanging="425"/>
        <w:contextualSpacing w:val="0"/>
        <w:jc w:val="both"/>
        <w:rPr>
          <w:b/>
        </w:rPr>
      </w:pPr>
      <w:r w:rsidRPr="00400240">
        <w:rPr>
          <w:b/>
        </w:rPr>
        <w:t xml:space="preserve">Zwingend vorgeschriebene Zweiseitigkeit von Preisanpassungsmechanismen: </w:t>
      </w:r>
      <w:r w:rsidRPr="00400240">
        <w:t xml:space="preserve">Preiserhöhungen zugunsten des Unternehmers dürfen </w:t>
      </w:r>
      <w:r w:rsidR="006A12AA" w:rsidRPr="00400240">
        <w:t xml:space="preserve">nach </w:t>
      </w:r>
      <w:r w:rsidR="00693940" w:rsidRPr="00400240">
        <w:t>§ </w:t>
      </w:r>
      <w:r w:rsidRPr="00400240">
        <w:t>6</w:t>
      </w:r>
      <w:r w:rsidR="00693940" w:rsidRPr="00400240">
        <w:t xml:space="preserve"> Abs </w:t>
      </w:r>
      <w:r w:rsidRPr="00400240">
        <w:t>1</w:t>
      </w:r>
      <w:r w:rsidR="00693940" w:rsidRPr="00400240">
        <w:t xml:space="preserve"> Z </w:t>
      </w:r>
      <w:r w:rsidRPr="00400240">
        <w:t xml:space="preserve">5 KSchG nur </w:t>
      </w:r>
      <w:r w:rsidRPr="00400240">
        <w:lastRenderedPageBreak/>
        <w:t xml:space="preserve">vereinbart werden, wenn „bei Vorliegen der vereinbarten Voraussetzungen für eine Entgeltänderung auch eine Entgeltsenkung“ vorgesehen ist. Preisanpassungsklauseln müssen daher zwingend zweiseitig ausgestaltet sein, also sowohl dem Grunde nach </w:t>
      </w:r>
      <w:r w:rsidR="00793C6D" w:rsidRPr="00400240">
        <w:t>(4</w:t>
      </w:r>
      <w:r w:rsidR="00B212E3" w:rsidRPr="00400240">
        <w:t> Ob </w:t>
      </w:r>
      <w:r w:rsidR="00793C6D" w:rsidRPr="00400240">
        <w:t>28/01y; 4</w:t>
      </w:r>
      <w:r w:rsidR="00B212E3" w:rsidRPr="00400240">
        <w:t> Ob </w:t>
      </w:r>
      <w:r w:rsidR="00793C6D" w:rsidRPr="00400240">
        <w:t>265/02b; 5</w:t>
      </w:r>
      <w:r w:rsidR="00B212E3" w:rsidRPr="00400240">
        <w:t> Ob </w:t>
      </w:r>
      <w:r w:rsidR="00793C6D" w:rsidRPr="00400240">
        <w:t>266/02g; 9</w:t>
      </w:r>
      <w:r w:rsidR="00B212E3" w:rsidRPr="00400240">
        <w:t> Ob </w:t>
      </w:r>
      <w:r w:rsidR="00793C6D" w:rsidRPr="00400240">
        <w:t>241/02k; 7</w:t>
      </w:r>
      <w:r w:rsidR="00B212E3" w:rsidRPr="00400240">
        <w:t> Ob </w:t>
      </w:r>
      <w:r w:rsidR="00793C6D" w:rsidRPr="00400240">
        <w:t>207/04y; 4</w:t>
      </w:r>
      <w:r w:rsidR="00B212E3" w:rsidRPr="00400240">
        <w:t> Ob </w:t>
      </w:r>
      <w:r w:rsidR="00793C6D" w:rsidRPr="00400240">
        <w:t xml:space="preserve">227/06w) </w:t>
      </w:r>
      <w:r w:rsidRPr="00400240">
        <w:t>als auch hinsichtlich des Ausmaßes der Anpassung</w:t>
      </w:r>
      <w:r w:rsidRPr="00400240">
        <w:rPr>
          <w:b/>
        </w:rPr>
        <w:t xml:space="preserve"> in gleicher Weise </w:t>
      </w:r>
      <w:r w:rsidR="00793C6D" w:rsidRPr="00400240">
        <w:t>(4</w:t>
      </w:r>
      <w:r w:rsidR="00B212E3" w:rsidRPr="00400240">
        <w:t> Ob </w:t>
      </w:r>
      <w:r w:rsidR="00793C6D" w:rsidRPr="00400240">
        <w:t>107/17i; 8</w:t>
      </w:r>
      <w:r w:rsidR="00B212E3" w:rsidRPr="00400240">
        <w:t> Ob </w:t>
      </w:r>
      <w:r w:rsidR="00793C6D" w:rsidRPr="00400240">
        <w:t>101/16k; 8</w:t>
      </w:r>
      <w:r w:rsidR="00B212E3" w:rsidRPr="00400240">
        <w:t> Ob </w:t>
      </w:r>
      <w:r w:rsidR="00793C6D" w:rsidRPr="00400240">
        <w:t>107/16t; 3</w:t>
      </w:r>
      <w:r w:rsidR="00B212E3" w:rsidRPr="00400240">
        <w:t> Ob </w:t>
      </w:r>
      <w:r w:rsidR="00793C6D" w:rsidRPr="00400240">
        <w:t>46/19i)</w:t>
      </w:r>
      <w:r w:rsidR="00793C6D" w:rsidRPr="00400240">
        <w:rPr>
          <w:b/>
        </w:rPr>
        <w:t xml:space="preserve"> </w:t>
      </w:r>
      <w:r w:rsidRPr="00400240">
        <w:rPr>
          <w:b/>
        </w:rPr>
        <w:t xml:space="preserve">zugunsten wie zulasten </w:t>
      </w:r>
      <w:r w:rsidRPr="00400240">
        <w:t>des Unternehmers gehen.</w:t>
      </w:r>
      <w:r w:rsidR="006A12AA" w:rsidRPr="00400240">
        <w:t xml:space="preserve"> Das gi</w:t>
      </w:r>
      <w:r w:rsidR="00724DE7">
        <w:t>lt auch für die Rundungsregel: E</w:t>
      </w:r>
      <w:r w:rsidR="006A12AA" w:rsidRPr="00400240">
        <w:t xml:space="preserve">ine bloße </w:t>
      </w:r>
      <w:r w:rsidR="006A12AA" w:rsidRPr="00400240">
        <w:rPr>
          <w:i/>
        </w:rPr>
        <w:t>Au</w:t>
      </w:r>
      <w:r w:rsidR="006A12AA" w:rsidRPr="00400240">
        <w:t>frundung wäre gesetzwidrig (RIS-Justiz RS0117240).</w:t>
      </w:r>
    </w:p>
    <w:p w14:paraId="63D7FD4C" w14:textId="4FA84F17" w:rsidR="003A489F" w:rsidRPr="003A489F" w:rsidRDefault="003A489F" w:rsidP="00316A28">
      <w:pPr>
        <w:keepNext/>
        <w:spacing w:before="480" w:after="240" w:line="276" w:lineRule="auto"/>
        <w:jc w:val="center"/>
        <w:rPr>
          <w:b/>
        </w:rPr>
      </w:pPr>
      <w:r w:rsidRPr="003A489F">
        <w:rPr>
          <w:b/>
        </w:rPr>
        <w:t xml:space="preserve">Hinweise zur </w:t>
      </w:r>
      <w:r>
        <w:rPr>
          <w:b/>
        </w:rPr>
        <w:t xml:space="preserve">Wahl </w:t>
      </w:r>
      <w:r w:rsidR="00D46173">
        <w:rPr>
          <w:b/>
        </w:rPr>
        <w:t>von</w:t>
      </w:r>
      <w:r>
        <w:rPr>
          <w:b/>
        </w:rPr>
        <w:t xml:space="preserve"> Klausel 1 </w:t>
      </w:r>
      <w:r w:rsidR="00D46173">
        <w:rPr>
          <w:b/>
        </w:rPr>
        <w:t>oder</w:t>
      </w:r>
      <w:r>
        <w:rPr>
          <w:b/>
        </w:rPr>
        <w:t xml:space="preserve"> </w:t>
      </w:r>
      <w:r w:rsidR="006E754C">
        <w:rPr>
          <w:b/>
        </w:rPr>
        <w:t>2</w:t>
      </w:r>
      <w:r w:rsidRPr="003A489F">
        <w:rPr>
          <w:b/>
        </w:rPr>
        <w:t>:</w:t>
      </w:r>
    </w:p>
    <w:p w14:paraId="79C989C1" w14:textId="77777777" w:rsidR="003A489F" w:rsidRPr="007910D9" w:rsidRDefault="003A489F" w:rsidP="00316A28">
      <w:pPr>
        <w:pStyle w:val="Listenabsatz"/>
        <w:keepNext/>
        <w:numPr>
          <w:ilvl w:val="0"/>
          <w:numId w:val="5"/>
        </w:numPr>
        <w:spacing w:after="240" w:line="276" w:lineRule="auto"/>
        <w:ind w:left="425" w:hanging="425"/>
        <w:contextualSpacing w:val="0"/>
        <w:jc w:val="both"/>
        <w:rPr>
          <w:b/>
        </w:rPr>
      </w:pPr>
      <w:bookmarkStart w:id="4" w:name="_Ref74326077"/>
      <w:bookmarkStart w:id="5" w:name="_Ref74343123"/>
      <w:r w:rsidRPr="007910D9">
        <w:rPr>
          <w:b/>
        </w:rPr>
        <w:t>Wahl der passenden Klausel:</w:t>
      </w:r>
    </w:p>
    <w:p w14:paraId="2EC8F617" w14:textId="73834724" w:rsidR="003A489F" w:rsidRDefault="003A489F" w:rsidP="00316A28">
      <w:pPr>
        <w:pStyle w:val="Listenabsatz"/>
        <w:numPr>
          <w:ilvl w:val="0"/>
          <w:numId w:val="8"/>
        </w:numPr>
        <w:spacing w:after="240" w:line="276" w:lineRule="auto"/>
        <w:ind w:left="850" w:hanging="425"/>
        <w:contextualSpacing w:val="0"/>
        <w:jc w:val="both"/>
      </w:pPr>
      <w:r>
        <w:t xml:space="preserve">Wo immer ein passender (siehe </w:t>
      </w:r>
      <w:r w:rsidR="00314145">
        <w:t>Hinweis</w:t>
      </w:r>
      <w:r w:rsidR="00400240">
        <w:t xml:space="preserve"> </w:t>
      </w:r>
      <w:proofErr w:type="spellStart"/>
      <w:r w:rsidR="00414B89">
        <w:t>Nr</w:t>
      </w:r>
      <w:proofErr w:type="spellEnd"/>
      <w:r w:rsidR="00414B89">
        <w:t> </w:t>
      </w:r>
      <w:r w:rsidR="00D8267E">
        <w:rPr>
          <w:color w:val="FF0000"/>
          <w:highlight w:val="yellow"/>
        </w:rPr>
        <w:fldChar w:fldCharType="begin"/>
      </w:r>
      <w:r w:rsidR="00D8267E">
        <w:instrText xml:space="preserve"> REF _Ref75421373 \r \h </w:instrText>
      </w:r>
      <w:r w:rsidR="00D8267E">
        <w:rPr>
          <w:color w:val="FF0000"/>
          <w:highlight w:val="yellow"/>
        </w:rPr>
      </w:r>
      <w:r w:rsidR="00D8267E">
        <w:rPr>
          <w:color w:val="FF0000"/>
          <w:highlight w:val="yellow"/>
        </w:rPr>
        <w:fldChar w:fldCharType="separate"/>
      </w:r>
      <w:r w:rsidR="00D8267E">
        <w:t>6</w:t>
      </w:r>
      <w:r w:rsidR="00D8267E">
        <w:rPr>
          <w:color w:val="FF0000"/>
          <w:highlight w:val="yellow"/>
        </w:rPr>
        <w:fldChar w:fldCharType="end"/>
      </w:r>
      <w:r>
        <w:t xml:space="preserve">) branchenspezifischer Index zur Verfügung steht, sollte </w:t>
      </w:r>
      <w:r>
        <w:rPr>
          <w:b/>
        </w:rPr>
        <w:t>Klausel</w:t>
      </w:r>
      <w:r w:rsidRPr="00844FCF">
        <w:rPr>
          <w:b/>
        </w:rPr>
        <w:t xml:space="preserve"> 1 (Indexierung</w:t>
      </w:r>
      <w:r>
        <w:rPr>
          <w:b/>
        </w:rPr>
        <w:t xml:space="preserve"> nach branchenspezifischem Index</w:t>
      </w:r>
      <w:r w:rsidRPr="00844FCF">
        <w:rPr>
          <w:b/>
        </w:rPr>
        <w:t>)</w:t>
      </w:r>
      <w:r>
        <w:rPr>
          <w:b/>
        </w:rPr>
        <w:t xml:space="preserve"> </w:t>
      </w:r>
      <w:r w:rsidRPr="007C685C">
        <w:t>gewählt</w:t>
      </w:r>
      <w:r>
        <w:rPr>
          <w:b/>
        </w:rPr>
        <w:t xml:space="preserve"> </w:t>
      </w:r>
      <w:r w:rsidRPr="00400240">
        <w:t>werden.</w:t>
      </w:r>
    </w:p>
    <w:p w14:paraId="45A57DE3" w14:textId="325D912E" w:rsidR="007C685C" w:rsidRPr="003A489F" w:rsidRDefault="006E754C" w:rsidP="00316A28">
      <w:pPr>
        <w:pStyle w:val="Listenabsatz"/>
        <w:numPr>
          <w:ilvl w:val="0"/>
          <w:numId w:val="8"/>
        </w:numPr>
        <w:spacing w:after="240" w:line="276" w:lineRule="auto"/>
        <w:ind w:left="850" w:hanging="425"/>
        <w:contextualSpacing w:val="0"/>
        <w:jc w:val="both"/>
      </w:pPr>
      <w:r>
        <w:t>Steht kein</w:t>
      </w:r>
      <w:r w:rsidRPr="007C685C">
        <w:t xml:space="preserve"> </w:t>
      </w:r>
      <w:r>
        <w:t xml:space="preserve">passender branchenspezifischer Index zur Verfügung, der </w:t>
      </w:r>
      <w:r w:rsidR="007C685C" w:rsidRPr="00400240">
        <w:t>die kalkulatorisch relevanten Kostenfaktoren</w:t>
      </w:r>
      <w:r w:rsidR="007C685C">
        <w:t xml:space="preserve"> in angemessener Weise </w:t>
      </w:r>
      <w:r>
        <w:t>berücksichtigt</w:t>
      </w:r>
      <w:r w:rsidR="007C685C">
        <w:t xml:space="preserve">, kann ein Index gewählt werden, der sich auf den für das Produkt </w:t>
      </w:r>
      <w:proofErr w:type="spellStart"/>
      <w:r w:rsidR="007C685C">
        <w:t>bzw</w:t>
      </w:r>
      <w:proofErr w:type="spellEnd"/>
      <w:r w:rsidR="007C685C">
        <w:t xml:space="preserve"> die Dienstleistung wichtigsten Kostenfaktor (wie etwa einen bestimmten Materialpreis) bezieht. In diesem Fall ist </w:t>
      </w:r>
      <w:r w:rsidR="007C685C">
        <w:rPr>
          <w:b/>
        </w:rPr>
        <w:t>Klausel </w:t>
      </w:r>
      <w:r>
        <w:rPr>
          <w:b/>
        </w:rPr>
        <w:t>2</w:t>
      </w:r>
      <w:r w:rsidR="007C685C" w:rsidRPr="00844FCF">
        <w:rPr>
          <w:b/>
        </w:rPr>
        <w:t xml:space="preserve"> (Indexierung</w:t>
      </w:r>
      <w:r w:rsidR="007C685C">
        <w:rPr>
          <w:b/>
        </w:rPr>
        <w:t xml:space="preserve"> nach bestimmtem Rohstoffindex</w:t>
      </w:r>
      <w:r w:rsidR="007C685C" w:rsidRPr="00844FCF">
        <w:rPr>
          <w:b/>
        </w:rPr>
        <w:t>)</w:t>
      </w:r>
      <w:r w:rsidR="007C685C" w:rsidRPr="007C685C">
        <w:t xml:space="preserve"> </w:t>
      </w:r>
      <w:r w:rsidR="007C685C">
        <w:t>zu wählen.</w:t>
      </w:r>
      <w:r w:rsidR="00D46173">
        <w:t xml:space="preserve"> Hier ist aber ganz besonders auf die genaue und korrekte Bezeichnung des Index und seiner Fundstelle zu achten (siehe </w:t>
      </w:r>
      <w:r w:rsidR="00314145">
        <w:t>Hinweis</w:t>
      </w:r>
      <w:r w:rsidR="00D46173">
        <w:t xml:space="preserve"> </w:t>
      </w:r>
      <w:proofErr w:type="spellStart"/>
      <w:r w:rsidR="00414B89">
        <w:t>Nr</w:t>
      </w:r>
      <w:proofErr w:type="spellEnd"/>
      <w:r w:rsidR="00414B89">
        <w:t> </w:t>
      </w:r>
      <w:r w:rsidR="00D8267E">
        <w:rPr>
          <w:color w:val="FF0000"/>
          <w:highlight w:val="yellow"/>
        </w:rPr>
        <w:fldChar w:fldCharType="begin"/>
      </w:r>
      <w:r w:rsidR="00D8267E">
        <w:instrText xml:space="preserve"> REF _Ref75421373 \r \h </w:instrText>
      </w:r>
      <w:r w:rsidR="00D8267E">
        <w:rPr>
          <w:color w:val="FF0000"/>
          <w:highlight w:val="yellow"/>
        </w:rPr>
      </w:r>
      <w:r w:rsidR="00D8267E">
        <w:rPr>
          <w:color w:val="FF0000"/>
          <w:highlight w:val="yellow"/>
        </w:rPr>
        <w:fldChar w:fldCharType="separate"/>
      </w:r>
      <w:r w:rsidR="00D8267E">
        <w:t>6</w:t>
      </w:r>
      <w:r w:rsidR="00D8267E">
        <w:rPr>
          <w:color w:val="FF0000"/>
          <w:highlight w:val="yellow"/>
        </w:rPr>
        <w:fldChar w:fldCharType="end"/>
      </w:r>
      <w:r w:rsidR="00D46173">
        <w:t>).</w:t>
      </w:r>
    </w:p>
    <w:p w14:paraId="4D5DDB77" w14:textId="2C8A1430" w:rsidR="006A12AA" w:rsidRPr="00400240" w:rsidRDefault="007910D9" w:rsidP="00316A28">
      <w:pPr>
        <w:pStyle w:val="Listenabsatz"/>
        <w:keepNext/>
        <w:numPr>
          <w:ilvl w:val="0"/>
          <w:numId w:val="5"/>
        </w:numPr>
        <w:spacing w:after="240" w:line="276" w:lineRule="auto"/>
        <w:ind w:left="425" w:hanging="425"/>
        <w:contextualSpacing w:val="0"/>
        <w:jc w:val="both"/>
        <w:rPr>
          <w:b/>
        </w:rPr>
      </w:pPr>
      <w:bookmarkStart w:id="6" w:name="_Ref75421373"/>
      <w:r w:rsidRPr="00400240">
        <w:rPr>
          <w:b/>
        </w:rPr>
        <w:t>Wahl des passenden Index</w:t>
      </w:r>
      <w:r w:rsidR="002623BB" w:rsidRPr="00400240">
        <w:rPr>
          <w:b/>
        </w:rPr>
        <w:t>:</w:t>
      </w:r>
      <w:bookmarkEnd w:id="4"/>
      <w:bookmarkEnd w:id="5"/>
      <w:bookmarkEnd w:id="6"/>
    </w:p>
    <w:p w14:paraId="2A220A01" w14:textId="68670D3D" w:rsidR="003E00E7" w:rsidRPr="003E00E7" w:rsidRDefault="00BC2441" w:rsidP="00316A28">
      <w:pPr>
        <w:pStyle w:val="Listenabsatz"/>
        <w:numPr>
          <w:ilvl w:val="0"/>
          <w:numId w:val="8"/>
        </w:numPr>
        <w:spacing w:after="240" w:line="276" w:lineRule="auto"/>
        <w:ind w:left="850" w:hanging="425"/>
        <w:contextualSpacing w:val="0"/>
        <w:jc w:val="both"/>
      </w:pPr>
      <w:r w:rsidRPr="00BC2441">
        <w:rPr>
          <w:rFonts w:cs="Arial"/>
        </w:rPr>
        <w:t>Der</w:t>
      </w:r>
      <w:r w:rsidR="00C54DCB" w:rsidRPr="00BC2441">
        <w:rPr>
          <w:rFonts w:cs="Arial"/>
        </w:rPr>
        <w:t xml:space="preserve"> Index muss </w:t>
      </w:r>
      <w:r w:rsidR="00414B89">
        <w:rPr>
          <w:rFonts w:cs="Arial"/>
        </w:rPr>
        <w:t xml:space="preserve">jedenfalls </w:t>
      </w:r>
      <w:r w:rsidR="00B54051" w:rsidRPr="00BC2441">
        <w:rPr>
          <w:rFonts w:cs="Arial"/>
        </w:rPr>
        <w:t xml:space="preserve">vom Willen des Unternehmers </w:t>
      </w:r>
      <w:r w:rsidR="00B54051" w:rsidRPr="00BC2441">
        <w:t>unabhängig</w:t>
      </w:r>
      <w:r w:rsidR="00B54051" w:rsidRPr="00BC2441">
        <w:rPr>
          <w:rFonts w:cs="Arial"/>
          <w:b/>
        </w:rPr>
        <w:t xml:space="preserve"> </w:t>
      </w:r>
      <w:r w:rsidRPr="00BC2441">
        <w:rPr>
          <w:rFonts w:cs="Arial"/>
        </w:rPr>
        <w:t xml:space="preserve">sein (§ 6 Abs 1 Z 5 KSchG), also von </w:t>
      </w:r>
      <w:r w:rsidRPr="00BC2441">
        <w:t>einer</w:t>
      </w:r>
      <w:r w:rsidRPr="00BC2441">
        <w:rPr>
          <w:rFonts w:cs="Arial"/>
        </w:rPr>
        <w:t xml:space="preserve"> </w:t>
      </w:r>
      <w:r w:rsidRPr="00BC2441">
        <w:rPr>
          <w:rFonts w:cs="Arial"/>
          <w:b/>
        </w:rPr>
        <w:t>unabhängigen Stelle</w:t>
      </w:r>
      <w:r w:rsidRPr="00BC2441">
        <w:rPr>
          <w:rFonts w:cs="Arial"/>
        </w:rPr>
        <w:t xml:space="preserve"> publiziert werden.</w:t>
      </w:r>
      <w:r w:rsidRPr="00BC2441">
        <w:rPr>
          <w:rFonts w:cs="Arial"/>
          <w:b/>
        </w:rPr>
        <w:t xml:space="preserve"> </w:t>
      </w:r>
      <w:r w:rsidR="003E00E7" w:rsidRPr="003E00E7">
        <w:rPr>
          <w:rFonts w:cs="Arial"/>
        </w:rPr>
        <w:t xml:space="preserve">Wenn es sich nicht um </w:t>
      </w:r>
      <w:r w:rsidR="003E00E7">
        <w:rPr>
          <w:rFonts w:cs="Arial"/>
        </w:rPr>
        <w:t>einen</w:t>
      </w:r>
      <w:r w:rsidR="003E00E7" w:rsidRPr="003E00E7">
        <w:rPr>
          <w:rFonts w:cs="Arial"/>
        </w:rPr>
        <w:t xml:space="preserve"> </w:t>
      </w:r>
      <w:r w:rsidR="003E00E7" w:rsidRPr="00781112">
        <w:t>allgemein</w:t>
      </w:r>
      <w:r w:rsidR="003E00E7" w:rsidRPr="003E00E7">
        <w:rPr>
          <w:rFonts w:cs="Arial"/>
        </w:rPr>
        <w:t xml:space="preserve"> bekannten</w:t>
      </w:r>
      <w:r w:rsidR="003E00E7" w:rsidRPr="003E00E7">
        <w:t xml:space="preserve"> </w:t>
      </w:r>
      <w:r w:rsidR="003E00E7">
        <w:t xml:space="preserve">Index wie den </w:t>
      </w:r>
      <w:r w:rsidR="003E00E7" w:rsidRPr="00C54DCB">
        <w:t>Verbraucherpreisindex</w:t>
      </w:r>
      <w:r w:rsidR="003E00E7">
        <w:rPr>
          <w:i/>
        </w:rPr>
        <w:t xml:space="preserve"> </w:t>
      </w:r>
      <w:r w:rsidR="003E00E7">
        <w:rPr>
          <w:rFonts w:cs="Arial"/>
        </w:rPr>
        <w:t xml:space="preserve">handelt, muss der Index-Administrator in der Klausel </w:t>
      </w:r>
      <w:r w:rsidR="003E00E7" w:rsidRPr="003E00E7">
        <w:rPr>
          <w:rFonts w:cs="Arial"/>
          <w:b/>
        </w:rPr>
        <w:t>korrekt und vollständig genannt</w:t>
      </w:r>
      <w:r w:rsidR="003E00E7">
        <w:rPr>
          <w:rFonts w:cs="Arial"/>
        </w:rPr>
        <w:t xml:space="preserve"> werden (</w:t>
      </w:r>
      <w:proofErr w:type="spellStart"/>
      <w:r w:rsidR="003E00E7">
        <w:rPr>
          <w:rFonts w:cs="Arial"/>
        </w:rPr>
        <w:t>zB</w:t>
      </w:r>
      <w:proofErr w:type="spellEnd"/>
      <w:r w:rsidR="003E00E7">
        <w:rPr>
          <w:rFonts w:cs="Arial"/>
        </w:rPr>
        <w:t> </w:t>
      </w:r>
      <w:r w:rsidR="003E00E7" w:rsidRPr="00C46269">
        <w:rPr>
          <w:rFonts w:cs="Arial"/>
          <w:i/>
        </w:rPr>
        <w:t>„Statistik Austria (Bundesanstalt Statistik Österreich)</w:t>
      </w:r>
      <w:r w:rsidR="003E00E7" w:rsidRPr="00C46269">
        <w:rPr>
          <w:i/>
        </w:rPr>
        <w:t>“</w:t>
      </w:r>
      <w:r w:rsidR="003E00E7">
        <w:rPr>
          <w:rFonts w:cs="Arial"/>
        </w:rPr>
        <w:t>).</w:t>
      </w:r>
    </w:p>
    <w:p w14:paraId="4A27A6CC" w14:textId="670D4A6B" w:rsidR="003E00E7" w:rsidRPr="003E00E7" w:rsidRDefault="003E00E7" w:rsidP="00316A28">
      <w:pPr>
        <w:pStyle w:val="Listenabsatz"/>
        <w:numPr>
          <w:ilvl w:val="0"/>
          <w:numId w:val="8"/>
        </w:numPr>
        <w:spacing w:after="240" w:line="276" w:lineRule="auto"/>
        <w:ind w:left="850" w:hanging="425"/>
        <w:contextualSpacing w:val="0"/>
        <w:jc w:val="both"/>
      </w:pPr>
      <w:r>
        <w:rPr>
          <w:rFonts w:cs="Arial"/>
        </w:rPr>
        <w:t xml:space="preserve">Auch der Index selbst muss in der Klausel </w:t>
      </w:r>
      <w:r w:rsidRPr="00C54DCB">
        <w:rPr>
          <w:rFonts w:cs="Arial"/>
          <w:b/>
        </w:rPr>
        <w:t>konkret und transparent</w:t>
      </w:r>
      <w:r>
        <w:rPr>
          <w:rFonts w:cs="Arial"/>
          <w:b/>
        </w:rPr>
        <w:t xml:space="preserve"> bezeichnet</w:t>
      </w:r>
      <w:r>
        <w:rPr>
          <w:rFonts w:cs="Arial"/>
        </w:rPr>
        <w:t xml:space="preserve"> </w:t>
      </w:r>
      <w:r w:rsidR="00781112">
        <w:rPr>
          <w:rFonts w:cs="Arial"/>
        </w:rPr>
        <w:t>werden</w:t>
      </w:r>
      <w:r>
        <w:rPr>
          <w:rFonts w:cs="Arial"/>
        </w:rPr>
        <w:t xml:space="preserve">. Wenn verschiedene </w:t>
      </w:r>
      <w:r w:rsidRPr="00781112">
        <w:rPr>
          <w:rFonts w:cs="Arial"/>
          <w:b/>
        </w:rPr>
        <w:t>Indexreihen</w:t>
      </w:r>
      <w:r>
        <w:rPr>
          <w:rFonts w:cs="Arial"/>
        </w:rPr>
        <w:t xml:space="preserve"> existieren, muss klargestellt werden, an welche </w:t>
      </w:r>
      <w:r w:rsidRPr="00781112">
        <w:t>Indexreihe</w:t>
      </w:r>
      <w:r>
        <w:rPr>
          <w:rFonts w:cs="Arial"/>
        </w:rPr>
        <w:t xml:space="preserve"> angeknüpft wird (</w:t>
      </w:r>
      <w:proofErr w:type="spellStart"/>
      <w:r>
        <w:rPr>
          <w:rFonts w:cs="Arial"/>
        </w:rPr>
        <w:t>zB</w:t>
      </w:r>
      <w:proofErr w:type="spellEnd"/>
      <w:r>
        <w:rPr>
          <w:rFonts w:cs="Arial"/>
        </w:rPr>
        <w:t xml:space="preserve"> </w:t>
      </w:r>
      <w:r w:rsidRPr="00C46269">
        <w:rPr>
          <w:rFonts w:cs="Arial"/>
          <w:i/>
        </w:rPr>
        <w:t>„</w:t>
      </w:r>
      <w:r w:rsidRPr="00C46269">
        <w:rPr>
          <w:i/>
        </w:rPr>
        <w:t>Baukostenindex für den Wohnhaus- und Siedlungsbau, Basisjahr 2020“</w:t>
      </w:r>
      <w:r>
        <w:rPr>
          <w:rFonts w:cs="Arial"/>
        </w:rPr>
        <w:t>).</w:t>
      </w:r>
      <w:r w:rsidR="005F11C2">
        <w:rPr>
          <w:rFonts w:cs="Arial"/>
        </w:rPr>
        <w:t xml:space="preserve"> Wird auf einen </w:t>
      </w:r>
      <w:proofErr w:type="spellStart"/>
      <w:r w:rsidR="002715B5">
        <w:rPr>
          <w:rFonts w:cs="Arial"/>
          <w:b/>
        </w:rPr>
        <w:t>Sub</w:t>
      </w:r>
      <w:r w:rsidR="005F11C2" w:rsidRPr="00781112">
        <w:rPr>
          <w:rFonts w:cs="Arial"/>
          <w:b/>
        </w:rPr>
        <w:t>index</w:t>
      </w:r>
      <w:proofErr w:type="spellEnd"/>
      <w:r w:rsidR="005F11C2">
        <w:rPr>
          <w:rFonts w:cs="Arial"/>
        </w:rPr>
        <w:t xml:space="preserve"> referenziert, muss auch dieser so </w:t>
      </w:r>
      <w:r w:rsidR="00781112">
        <w:rPr>
          <w:rFonts w:cs="Arial"/>
        </w:rPr>
        <w:t>genau bezeichnet</w:t>
      </w:r>
      <w:r w:rsidR="005F11C2">
        <w:rPr>
          <w:rFonts w:cs="Arial"/>
        </w:rPr>
        <w:t xml:space="preserve"> werden, dass er </w:t>
      </w:r>
      <w:r w:rsidR="00781112">
        <w:rPr>
          <w:rFonts w:cs="Arial"/>
        </w:rPr>
        <w:t>unverwechselbar und für den</w:t>
      </w:r>
      <w:r w:rsidR="005F11C2">
        <w:rPr>
          <w:rFonts w:cs="Arial"/>
        </w:rPr>
        <w:t xml:space="preserve"> Durchschnittsverbraucher leicht </w:t>
      </w:r>
      <w:r w:rsidR="00781112">
        <w:rPr>
          <w:rFonts w:cs="Arial"/>
        </w:rPr>
        <w:t>auffindbar ist</w:t>
      </w:r>
      <w:r w:rsidR="005F11C2">
        <w:rPr>
          <w:rFonts w:cs="Arial"/>
        </w:rPr>
        <w:t xml:space="preserve"> (</w:t>
      </w:r>
      <w:proofErr w:type="spellStart"/>
      <w:r w:rsidR="005F11C2">
        <w:rPr>
          <w:rFonts w:cs="Arial"/>
        </w:rPr>
        <w:t>zB</w:t>
      </w:r>
      <w:proofErr w:type="spellEnd"/>
      <w:r w:rsidR="005F11C2">
        <w:rPr>
          <w:rFonts w:cs="Arial"/>
        </w:rPr>
        <w:t xml:space="preserve"> </w:t>
      </w:r>
      <w:r w:rsidR="005F11C2" w:rsidRPr="005F11C2">
        <w:rPr>
          <w:rFonts w:cs="Arial"/>
          <w:i/>
        </w:rPr>
        <w:t>„</w:t>
      </w:r>
      <w:r w:rsidR="005F11C2" w:rsidRPr="005F11C2">
        <w:rPr>
          <w:i/>
        </w:rPr>
        <w:t xml:space="preserve">Großhandelspreisindex 2020=100 für Eisen und Stahl </w:t>
      </w:r>
      <w:r w:rsidR="00781112">
        <w:rPr>
          <w:i/>
        </w:rPr>
        <w:t>(Pos. </w:t>
      </w:r>
      <w:r w:rsidR="005F11C2" w:rsidRPr="005F11C2">
        <w:rPr>
          <w:i/>
        </w:rPr>
        <w:t>46.72.13</w:t>
      </w:r>
      <w:r w:rsidR="005F11C2" w:rsidRPr="005F11C2">
        <w:rPr>
          <w:rFonts w:cs="Arial"/>
          <w:i/>
        </w:rPr>
        <w:t>)“</w:t>
      </w:r>
      <w:r w:rsidR="005F11C2">
        <w:rPr>
          <w:rFonts w:cs="Arial"/>
        </w:rPr>
        <w:t>).</w:t>
      </w:r>
    </w:p>
    <w:p w14:paraId="25F9C519" w14:textId="4FDEEC73" w:rsidR="003E00E7" w:rsidRPr="00BC2441" w:rsidRDefault="003E00E7" w:rsidP="00316A28">
      <w:pPr>
        <w:pStyle w:val="Listenabsatz"/>
        <w:numPr>
          <w:ilvl w:val="0"/>
          <w:numId w:val="8"/>
        </w:numPr>
        <w:spacing w:after="240" w:line="276" w:lineRule="auto"/>
        <w:ind w:left="850" w:hanging="425"/>
        <w:contextualSpacing w:val="0"/>
        <w:jc w:val="both"/>
      </w:pPr>
      <w:r>
        <w:rPr>
          <w:rFonts w:cs="Arial"/>
        </w:rPr>
        <w:t>Der</w:t>
      </w:r>
      <w:r w:rsidRPr="003E00E7">
        <w:rPr>
          <w:rFonts w:cs="Arial"/>
        </w:rPr>
        <w:t xml:space="preserve"> </w:t>
      </w:r>
      <w:r>
        <w:rPr>
          <w:rFonts w:cs="Arial"/>
        </w:rPr>
        <w:t xml:space="preserve">Index muss </w:t>
      </w:r>
      <w:r w:rsidRPr="00C54DCB">
        <w:rPr>
          <w:rFonts w:cs="Arial"/>
          <w:b/>
        </w:rPr>
        <w:t>für den Verbraucher zugänglich</w:t>
      </w:r>
      <w:r>
        <w:rPr>
          <w:rFonts w:cs="Arial"/>
        </w:rPr>
        <w:t xml:space="preserve"> sein. Ist er – anders als der </w:t>
      </w:r>
      <w:r w:rsidRPr="00C54DCB">
        <w:t>Verbraucherpreisindex</w:t>
      </w:r>
      <w:r>
        <w:rPr>
          <w:i/>
        </w:rPr>
        <w:t xml:space="preserve"> </w:t>
      </w:r>
      <w:r>
        <w:rPr>
          <w:rFonts w:cs="Arial"/>
        </w:rPr>
        <w:t xml:space="preserve">– nicht allgemeinbekannt, muss die </w:t>
      </w:r>
      <w:r w:rsidRPr="003E00E7">
        <w:rPr>
          <w:rFonts w:cs="Arial"/>
          <w:b/>
        </w:rPr>
        <w:t>Fundstelle</w:t>
      </w:r>
      <w:r>
        <w:rPr>
          <w:rFonts w:cs="Arial"/>
        </w:rPr>
        <w:t xml:space="preserve"> ergänzt werden, etwa durch Angabe einer </w:t>
      </w:r>
      <w:r w:rsidRPr="00271ACD">
        <w:rPr>
          <w:rFonts w:cs="Arial"/>
          <w:i/>
        </w:rPr>
        <w:t>konkreten</w:t>
      </w:r>
      <w:r>
        <w:rPr>
          <w:rFonts w:cs="Arial"/>
        </w:rPr>
        <w:t xml:space="preserve"> URL einer neutralen, möglichst offiziellen Veröffentlichung, etwa </w:t>
      </w:r>
      <w:hyperlink r:id="rId8" w:history="1">
        <w:r w:rsidRPr="00DD5773">
          <w:rPr>
            <w:rStyle w:val="Hyperlink"/>
            <w:rFonts w:cs="Arial"/>
          </w:rPr>
          <w:t>https://www.statistik.at/web_de/statistiken/wirtschaft/preise/verbraucherpreisindex_vpi_hvpi/zeitreihen_und_verkettungen/index.html</w:t>
        </w:r>
      </w:hyperlink>
      <w:r>
        <w:rPr>
          <w:rFonts w:cs="Arial"/>
        </w:rPr>
        <w:t xml:space="preserve"> und nicht bloß </w:t>
      </w:r>
      <w:hyperlink r:id="rId9" w:history="1">
        <w:r w:rsidRPr="00DD5773">
          <w:rPr>
            <w:rStyle w:val="Hyperlink"/>
            <w:rFonts w:cs="Arial"/>
          </w:rPr>
          <w:t>https://www.statistik.at/</w:t>
        </w:r>
      </w:hyperlink>
      <w:r>
        <w:rPr>
          <w:rFonts w:cs="Arial"/>
        </w:rPr>
        <w:t xml:space="preserve"> (</w:t>
      </w:r>
      <w:r w:rsidRPr="00F82C54">
        <w:rPr>
          <w:rFonts w:cs="Arial"/>
        </w:rPr>
        <w:t>5</w:t>
      </w:r>
      <w:r>
        <w:rPr>
          <w:rFonts w:cs="Arial"/>
        </w:rPr>
        <w:t> Ob </w:t>
      </w:r>
      <w:r w:rsidRPr="00F82C54">
        <w:rPr>
          <w:rFonts w:cs="Arial"/>
        </w:rPr>
        <w:t xml:space="preserve">118/13h </w:t>
      </w:r>
      <w:r>
        <w:rPr>
          <w:rFonts w:cs="Arial"/>
        </w:rPr>
        <w:t>[</w:t>
      </w:r>
      <w:r w:rsidRPr="00F82C54">
        <w:rPr>
          <w:rFonts w:cs="Arial"/>
        </w:rPr>
        <w:t>Klausel</w:t>
      </w:r>
      <w:r>
        <w:rPr>
          <w:rFonts w:cs="Arial"/>
        </w:rPr>
        <w:t> </w:t>
      </w:r>
      <w:r w:rsidRPr="00F82C54">
        <w:rPr>
          <w:rFonts w:cs="Arial"/>
        </w:rPr>
        <w:t>2</w:t>
      </w:r>
      <w:r>
        <w:rPr>
          <w:rFonts w:cs="Arial"/>
        </w:rPr>
        <w:t>]</w:t>
      </w:r>
      <w:r w:rsidRPr="00F82C54">
        <w:rPr>
          <w:rFonts w:cs="Arial"/>
        </w:rPr>
        <w:t>;</w:t>
      </w:r>
      <w:r>
        <w:rPr>
          <w:rFonts w:cs="Arial"/>
        </w:rPr>
        <w:t xml:space="preserve"> 4 Ob </w:t>
      </w:r>
      <w:r w:rsidRPr="00F82C54">
        <w:rPr>
          <w:rFonts w:cs="Arial"/>
        </w:rPr>
        <w:t>147/17x</w:t>
      </w:r>
      <w:r>
        <w:rPr>
          <w:rFonts w:cs="Arial"/>
        </w:rPr>
        <w:t>).</w:t>
      </w:r>
      <w:r w:rsidR="003B1C4A" w:rsidRPr="003B1C4A">
        <w:rPr>
          <w:b/>
        </w:rPr>
        <w:t xml:space="preserve"> </w:t>
      </w:r>
      <w:r w:rsidR="003B1C4A" w:rsidRPr="003B1C4A">
        <w:t>Verweise</w:t>
      </w:r>
      <w:r w:rsidR="003B1C4A">
        <w:t xml:space="preserve"> auf Umstände oder Regelwerke, die dem Verbraucher nicht zugänglich sind, wären intransparent und sind daher zu vermeiden.</w:t>
      </w:r>
    </w:p>
    <w:p w14:paraId="54D617F7" w14:textId="2CBD5C70" w:rsidR="003E00E7" w:rsidRDefault="003E00E7" w:rsidP="00316A28">
      <w:pPr>
        <w:pStyle w:val="Listenabsatz"/>
        <w:numPr>
          <w:ilvl w:val="0"/>
          <w:numId w:val="8"/>
        </w:numPr>
        <w:spacing w:after="240" w:line="276" w:lineRule="auto"/>
        <w:ind w:left="850" w:hanging="425"/>
        <w:contextualSpacing w:val="0"/>
        <w:jc w:val="both"/>
      </w:pPr>
      <w:r>
        <w:rPr>
          <w:rFonts w:cs="Arial"/>
        </w:rPr>
        <w:t>Die Anknüpfung an den</w:t>
      </w:r>
      <w:r w:rsidRPr="00BC2441">
        <w:rPr>
          <w:rFonts w:cs="Arial"/>
        </w:rPr>
        <w:t xml:space="preserve"> Index muss </w:t>
      </w:r>
      <w:r w:rsidRPr="00B54051">
        <w:rPr>
          <w:rFonts w:cs="Arial"/>
          <w:b/>
        </w:rPr>
        <w:t>sachlich</w:t>
      </w:r>
      <w:r w:rsidRPr="00625DC8">
        <w:rPr>
          <w:rFonts w:cs="Arial"/>
          <w:b/>
        </w:rPr>
        <w:t xml:space="preserve"> gerechtfertigt</w:t>
      </w:r>
      <w:r w:rsidRPr="00625DC8">
        <w:rPr>
          <w:rFonts w:cs="Arial"/>
        </w:rPr>
        <w:t xml:space="preserve"> sein,</w:t>
      </w:r>
      <w:r>
        <w:t xml:space="preserve"> </w:t>
      </w:r>
      <w:proofErr w:type="spellStart"/>
      <w:r>
        <w:t>dh</w:t>
      </w:r>
      <w:proofErr w:type="spellEnd"/>
      <w:r>
        <w:t xml:space="preserve"> der Index muss die reale Entwicklung der Kostenstruktur der </w:t>
      </w:r>
      <w:r w:rsidRPr="00BC2441">
        <w:rPr>
          <w:rFonts w:cs="Arial"/>
        </w:rPr>
        <w:t>vertragsgegenständlichen</w:t>
      </w:r>
      <w:r>
        <w:t xml:space="preserve"> Waren oder </w:t>
      </w:r>
      <w:r w:rsidRPr="00BC2441">
        <w:rPr>
          <w:rFonts w:cs="Arial"/>
        </w:rPr>
        <w:t>Dienstleistungen</w:t>
      </w:r>
      <w:r>
        <w:t xml:space="preserve"> (</w:t>
      </w:r>
      <w:r w:rsidRPr="00BC2441">
        <w:rPr>
          <w:rFonts w:cs="Arial"/>
        </w:rPr>
        <w:t>zumindest</w:t>
      </w:r>
      <w:r>
        <w:t xml:space="preserve"> annähernd) widerspiegeln. </w:t>
      </w:r>
      <w:r w:rsidRPr="00750B07">
        <w:t xml:space="preserve">Dies richtet sich gegen Vereinbarungen, </w:t>
      </w:r>
      <w:r>
        <w:t>in denen</w:t>
      </w:r>
      <w:r w:rsidRPr="00750B07">
        <w:t xml:space="preserve"> die Preisentwicklung an Parameter geknüpft wird, die </w:t>
      </w:r>
      <w:r w:rsidR="00724DE7">
        <w:t>keinen ausreichenden</w:t>
      </w:r>
      <w:r w:rsidRPr="00750B07">
        <w:t xml:space="preserve"> sachlichen Bezug zum konkreten Geschäft und insbesondere zu den Kosten des Unternehmers haben</w:t>
      </w:r>
      <w:r>
        <w:t xml:space="preserve"> (</w:t>
      </w:r>
      <w:proofErr w:type="spellStart"/>
      <w:r w:rsidRPr="00625DC8">
        <w:rPr>
          <w:i/>
          <w:iCs/>
        </w:rPr>
        <w:t>Apathy</w:t>
      </w:r>
      <w:proofErr w:type="spellEnd"/>
      <w:r w:rsidRPr="00750B07">
        <w:t xml:space="preserve"> in </w:t>
      </w:r>
      <w:proofErr w:type="spellStart"/>
      <w:r w:rsidRPr="00625DC8">
        <w:rPr>
          <w:iCs/>
        </w:rPr>
        <w:t>Schwimann</w:t>
      </w:r>
      <w:proofErr w:type="spellEnd"/>
      <w:r w:rsidRPr="00625DC8">
        <w:rPr>
          <w:iCs/>
        </w:rPr>
        <w:t>/Kodek</w:t>
      </w:r>
      <w:r w:rsidRPr="00625DC8">
        <w:rPr>
          <w:vertAlign w:val="superscript"/>
        </w:rPr>
        <w:t>4</w:t>
      </w:r>
      <w:r w:rsidRPr="00750B07">
        <w:t xml:space="preserve"> § 6 KSchG </w:t>
      </w:r>
      <w:proofErr w:type="spellStart"/>
      <w:r w:rsidRPr="00750B07">
        <w:t>Rz</w:t>
      </w:r>
      <w:proofErr w:type="spellEnd"/>
      <w:r w:rsidRPr="00750B07">
        <w:t xml:space="preserve"> 26</w:t>
      </w:r>
      <w:r>
        <w:t xml:space="preserve">). </w:t>
      </w:r>
      <w:r w:rsidR="005F11C2">
        <w:t>Bezieht sich der Index nur auf einen</w:t>
      </w:r>
      <w:r w:rsidR="00E9723E">
        <w:t xml:space="preserve"> (nicht völlig dominant preisbestimmenden)</w:t>
      </w:r>
      <w:r w:rsidR="005F11C2">
        <w:t xml:space="preserve"> </w:t>
      </w:r>
      <w:r w:rsidR="005F11C2" w:rsidRPr="005F11C2">
        <w:rPr>
          <w:b/>
        </w:rPr>
        <w:t>Teil</w:t>
      </w:r>
      <w:r w:rsidR="005F11C2">
        <w:t xml:space="preserve"> der </w:t>
      </w:r>
      <w:r>
        <w:t xml:space="preserve">für die </w:t>
      </w:r>
      <w:r w:rsidRPr="00BC2441">
        <w:rPr>
          <w:rFonts w:cs="Arial"/>
        </w:rPr>
        <w:t>vertragsgegenständlichen</w:t>
      </w:r>
      <w:r>
        <w:t xml:space="preserve"> Waren oder </w:t>
      </w:r>
      <w:r w:rsidRPr="00BC2441">
        <w:rPr>
          <w:rFonts w:cs="Arial"/>
        </w:rPr>
        <w:t>Dienstleistungen</w:t>
      </w:r>
      <w:r>
        <w:t xml:space="preserve"> kalkulatorisch relevanten Kostenfaktoren</w:t>
      </w:r>
      <w:r w:rsidR="005F11C2">
        <w:t xml:space="preserve">, darf eine Anknüpfung an diesen Index – wie im Mustertext </w:t>
      </w:r>
      <w:r w:rsidR="005F11C2" w:rsidRPr="005F11C2">
        <w:t xml:space="preserve">von Klausel </w:t>
      </w:r>
      <w:r w:rsidR="006E754C">
        <w:t>2</w:t>
      </w:r>
      <w:r w:rsidR="006E754C" w:rsidRPr="005F11C2">
        <w:t xml:space="preserve"> </w:t>
      </w:r>
      <w:r w:rsidR="005F11C2" w:rsidRPr="005F11C2">
        <w:t xml:space="preserve">(Indexierung nach bestimmtem Rohstoffindex) – nur </w:t>
      </w:r>
      <w:r w:rsidR="005F11C2" w:rsidRPr="005F11C2">
        <w:rPr>
          <w:b/>
        </w:rPr>
        <w:t>anteilig</w:t>
      </w:r>
      <w:r w:rsidR="005F11C2" w:rsidRPr="005F11C2">
        <w:t xml:space="preserve"> erfolgen, also für jenen Preisanteil, der auf die betreffenden Kostenfaktoren zurückgeht.</w:t>
      </w:r>
    </w:p>
    <w:p w14:paraId="4414581B" w14:textId="239216A5" w:rsidR="000809A3" w:rsidRDefault="003B1C4A" w:rsidP="00316A28">
      <w:pPr>
        <w:pStyle w:val="Listenabsatz"/>
        <w:numPr>
          <w:ilvl w:val="0"/>
          <w:numId w:val="8"/>
        </w:numPr>
        <w:spacing w:after="240" w:line="276" w:lineRule="auto"/>
        <w:ind w:left="850" w:hanging="425"/>
        <w:contextualSpacing w:val="0"/>
        <w:jc w:val="both"/>
      </w:pPr>
      <w:r>
        <w:t xml:space="preserve">Eine Anknüpfung an </w:t>
      </w:r>
      <w:r w:rsidRPr="003B1C4A">
        <w:rPr>
          <w:b/>
        </w:rPr>
        <w:t>mehrere Indizes</w:t>
      </w:r>
      <w:r>
        <w:t xml:space="preserve"> wäre zulässig, wenn jeder dieser Indizes einen </w:t>
      </w:r>
      <w:proofErr w:type="gramStart"/>
      <w:r>
        <w:t>Teil</w:t>
      </w:r>
      <w:proofErr w:type="gramEnd"/>
      <w:r>
        <w:t xml:space="preserve"> der für die </w:t>
      </w:r>
      <w:r w:rsidRPr="00BC2441">
        <w:rPr>
          <w:rFonts w:cs="Arial"/>
        </w:rPr>
        <w:t>vertragsgegenständlichen</w:t>
      </w:r>
      <w:r>
        <w:t xml:space="preserve"> Waren oder </w:t>
      </w:r>
      <w:r w:rsidRPr="00BC2441">
        <w:rPr>
          <w:rFonts w:cs="Arial"/>
        </w:rPr>
        <w:t>Dienstleistungen</w:t>
      </w:r>
      <w:r>
        <w:t xml:space="preserve"> kalkulatorisch relevanten Kostenfaktoren abbildet. In diesem Fall </w:t>
      </w:r>
      <w:r w:rsidR="00E9723E">
        <w:t>müsste</w:t>
      </w:r>
      <w:r>
        <w:t xml:space="preserve"> </w:t>
      </w:r>
      <w:r w:rsidR="004C4B9A">
        <w:t xml:space="preserve">jedoch </w:t>
      </w:r>
      <w:r>
        <w:t xml:space="preserve">klar und transparent geregelt werden, zu </w:t>
      </w:r>
      <w:r w:rsidRPr="003B1C4A">
        <w:rPr>
          <w:b/>
        </w:rPr>
        <w:t xml:space="preserve">welchem Anteil </w:t>
      </w:r>
      <w:r>
        <w:t xml:space="preserve">die Preise an die Entwicklung </w:t>
      </w:r>
      <w:r w:rsidRPr="003B1C4A">
        <w:rPr>
          <w:b/>
        </w:rPr>
        <w:t>des einen und des anderen</w:t>
      </w:r>
      <w:r>
        <w:t xml:space="preserve"> Index angepasst werden. </w:t>
      </w:r>
      <w:r w:rsidR="004C4B9A">
        <w:t>Zur Vermeidung übermäßiger</w:t>
      </w:r>
      <w:r w:rsidR="00F83926">
        <w:t xml:space="preserve"> Komplexität </w:t>
      </w:r>
      <w:r>
        <w:t xml:space="preserve">und </w:t>
      </w:r>
      <w:r w:rsidR="004C4B9A">
        <w:t xml:space="preserve">aufgrund </w:t>
      </w:r>
      <w:r>
        <w:t xml:space="preserve">der Schwierigkeit, </w:t>
      </w:r>
      <w:r w:rsidR="004C4B9A">
        <w:t>diese Komplexität</w:t>
      </w:r>
      <w:r>
        <w:t xml:space="preserve"> für den Verbraucher klar und transparent darzustellen, wird empfohlen, im Normalfall </w:t>
      </w:r>
      <w:r w:rsidR="00E9723E">
        <w:t xml:space="preserve">nach Möglichkeit </w:t>
      </w:r>
      <w:r>
        <w:t>nur an einen Index anzuknüpfen</w:t>
      </w:r>
      <w:r w:rsidR="00F83926">
        <w:t>.</w:t>
      </w:r>
    </w:p>
    <w:p w14:paraId="685AE73C" w14:textId="0C08E9CE" w:rsidR="002B27BA" w:rsidRDefault="004C4B9A" w:rsidP="00316A28">
      <w:pPr>
        <w:pStyle w:val="Listenabsatz"/>
        <w:numPr>
          <w:ilvl w:val="0"/>
          <w:numId w:val="8"/>
        </w:numPr>
        <w:spacing w:after="240" w:line="276" w:lineRule="auto"/>
        <w:ind w:left="850" w:hanging="425"/>
        <w:contextualSpacing w:val="0"/>
        <w:jc w:val="both"/>
      </w:pPr>
      <w:r>
        <w:t>Sind im Vertrag</w:t>
      </w:r>
      <w:r w:rsidR="00085927">
        <w:t xml:space="preserve"> </w:t>
      </w:r>
      <w:r w:rsidR="00085927" w:rsidRPr="00085927">
        <w:rPr>
          <w:b/>
        </w:rPr>
        <w:t xml:space="preserve">mehrere Preise </w:t>
      </w:r>
      <w:r w:rsidR="00085927" w:rsidRPr="004C4B9A">
        <w:t>für</w:t>
      </w:r>
      <w:r w:rsidR="00085927" w:rsidRPr="00085927">
        <w:rPr>
          <w:b/>
        </w:rPr>
        <w:t xml:space="preserve"> unterschiedliche Leistungen</w:t>
      </w:r>
      <w:r w:rsidR="00085927">
        <w:t xml:space="preserve"> vereinbart,</w:t>
      </w:r>
      <w:r>
        <w:t xml:space="preserve"> denen unterschiedliche Kostenfaktoren </w:t>
      </w:r>
      <w:proofErr w:type="spellStart"/>
      <w:r>
        <w:t>zugrundeliegen</w:t>
      </w:r>
      <w:proofErr w:type="spellEnd"/>
      <w:r>
        <w:t>, könnte für jeden dieser Preise eine gesonderte Indexklausel vorgesehen werden. In diesem Fall müsste</w:t>
      </w:r>
      <w:r w:rsidR="00085927">
        <w:t xml:space="preserve"> </w:t>
      </w:r>
      <w:r>
        <w:t>jedoch klar und transparent geregelt werden, für</w:t>
      </w:r>
      <w:r w:rsidR="00085927">
        <w:t xml:space="preserve"> </w:t>
      </w:r>
      <w:r w:rsidR="00085927" w:rsidRPr="004C4B9A">
        <w:rPr>
          <w:b/>
        </w:rPr>
        <w:t xml:space="preserve">welchen Preis </w:t>
      </w:r>
      <w:r w:rsidRPr="004C4B9A">
        <w:rPr>
          <w:b/>
        </w:rPr>
        <w:t>welche Indexk</w:t>
      </w:r>
      <w:r w:rsidR="00085927" w:rsidRPr="004C4B9A">
        <w:rPr>
          <w:b/>
        </w:rPr>
        <w:t>lausel</w:t>
      </w:r>
      <w:r w:rsidR="00085927">
        <w:t xml:space="preserve"> </w:t>
      </w:r>
      <w:r>
        <w:t>gilt</w:t>
      </w:r>
      <w:r w:rsidR="00085927">
        <w:t xml:space="preserve">. </w:t>
      </w:r>
      <w:r>
        <w:t xml:space="preserve">Zur Vermeidung übermäßiger Komplexität und aufgrund der Schwierigkeit, diese Komplexität für den Verbraucher klar und transparent darzustellen, wird empfohlen, im Normalfall </w:t>
      </w:r>
      <w:r w:rsidR="00E9723E">
        <w:t xml:space="preserve">nach Möglichkeit </w:t>
      </w:r>
      <w:r>
        <w:t>davon abzusehen.</w:t>
      </w:r>
    </w:p>
    <w:sectPr w:rsidR="002B27BA" w:rsidSect="000A410D"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E87D" w14:textId="77777777" w:rsidR="00B97952" w:rsidRDefault="00B97952" w:rsidP="00D609F3">
      <w:pPr>
        <w:spacing w:line="240" w:lineRule="auto"/>
      </w:pPr>
      <w:r>
        <w:separator/>
      </w:r>
    </w:p>
  </w:endnote>
  <w:endnote w:type="continuationSeparator" w:id="0">
    <w:p w14:paraId="6C437C02" w14:textId="77777777" w:rsidR="00B97952" w:rsidRDefault="00B97952" w:rsidP="00D6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8B22" w14:textId="77777777" w:rsidR="00B97952" w:rsidRDefault="00B97952" w:rsidP="00D609F3">
      <w:pPr>
        <w:spacing w:line="240" w:lineRule="auto"/>
      </w:pPr>
      <w:r>
        <w:separator/>
      </w:r>
    </w:p>
  </w:footnote>
  <w:footnote w:type="continuationSeparator" w:id="0">
    <w:p w14:paraId="244795C6" w14:textId="77777777" w:rsidR="00B97952" w:rsidRDefault="00B97952" w:rsidP="00D609F3">
      <w:pPr>
        <w:spacing w:line="240" w:lineRule="auto"/>
      </w:pPr>
      <w:r>
        <w:continuationSeparator/>
      </w:r>
    </w:p>
  </w:footnote>
  <w:footnote w:id="1">
    <w:p w14:paraId="6FA46EF7" w14:textId="3E7E9E7B" w:rsidR="004151C0" w:rsidRPr="000F695B" w:rsidRDefault="004151C0" w:rsidP="006E1600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  <w:t xml:space="preserve">Die </w:t>
      </w:r>
      <w:r>
        <w:rPr>
          <w:rFonts w:cs="Arial"/>
        </w:rPr>
        <w:t xml:space="preserve">Bezeichnung für den </w:t>
      </w:r>
      <w:r w:rsidRPr="00CE45A0">
        <w:rPr>
          <w:rFonts w:cs="Arial"/>
          <w:b/>
        </w:rPr>
        <w:t>Unternehmer</w:t>
      </w:r>
      <w:r w:rsidR="00C241F9">
        <w:rPr>
          <w:rFonts w:cs="Arial"/>
        </w:rPr>
        <w:t xml:space="preserve"> und den </w:t>
      </w:r>
      <w:r w:rsidR="00C241F9" w:rsidRPr="00CE45A0">
        <w:rPr>
          <w:rFonts w:cs="Arial"/>
          <w:b/>
        </w:rPr>
        <w:t>Kunden</w:t>
      </w:r>
      <w:r w:rsidR="009B295C" w:rsidRPr="009B295C">
        <w:t xml:space="preserve"> </w:t>
      </w:r>
      <w:r w:rsidR="009B295C">
        <w:t xml:space="preserve">ist </w:t>
      </w:r>
      <w:proofErr w:type="spellStart"/>
      <w:r w:rsidR="009B295C">
        <w:t>ggf</w:t>
      </w:r>
      <w:proofErr w:type="spellEnd"/>
      <w:r w:rsidR="009B295C">
        <w:t xml:space="preserve"> an die Terminologie des Vertrages anzupassen (</w:t>
      </w:r>
      <w:proofErr w:type="spellStart"/>
      <w:r w:rsidR="009B295C">
        <w:t>zB</w:t>
      </w:r>
      <w:proofErr w:type="spellEnd"/>
      <w:r w:rsidR="009B295C">
        <w:t xml:space="preserve"> </w:t>
      </w:r>
      <w:r w:rsidR="009B295C" w:rsidRPr="00C46269">
        <w:rPr>
          <w:i/>
        </w:rPr>
        <w:t>„vom Auftragnehmer“</w:t>
      </w:r>
      <w:r w:rsidR="009B295C">
        <w:t xml:space="preserve"> statt </w:t>
      </w:r>
      <w:r w:rsidR="009B295C" w:rsidRPr="00C46269">
        <w:rPr>
          <w:i/>
        </w:rPr>
        <w:t>„von uns“</w:t>
      </w:r>
      <w:r w:rsidR="009B295C">
        <w:t>)</w:t>
      </w:r>
      <w:r>
        <w:rPr>
          <w:rFonts w:cs="Arial"/>
        </w:rPr>
        <w:t>.</w:t>
      </w:r>
    </w:p>
  </w:footnote>
  <w:footnote w:id="2">
    <w:p w14:paraId="2E98D559" w14:textId="364CD158" w:rsidR="006D2BEE" w:rsidRPr="00816AFE" w:rsidRDefault="006D2BEE" w:rsidP="006D2BEE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816AFE">
        <w:rPr>
          <w:rFonts w:cs="Arial"/>
        </w:rPr>
        <w:t xml:space="preserve">Hier ist </w:t>
      </w:r>
      <w:r w:rsidR="00FF5F71">
        <w:rPr>
          <w:rFonts w:cs="Arial"/>
        </w:rPr>
        <w:t xml:space="preserve">(unter möglichst genauer und vollständiger Bezeichnung) die </w:t>
      </w:r>
      <w:r w:rsidR="00FF5F71" w:rsidRPr="00CE45A0">
        <w:rPr>
          <w:rFonts w:cs="Arial"/>
          <w:b/>
        </w:rPr>
        <w:t>Stelle</w:t>
      </w:r>
      <w:r w:rsidR="00FF5F71">
        <w:rPr>
          <w:rFonts w:cs="Arial"/>
        </w:rPr>
        <w:t xml:space="preserve"> zu benennen, welche den Index veröffentlicht (</w:t>
      </w:r>
      <w:proofErr w:type="spellStart"/>
      <w:r w:rsidR="00FF5F71">
        <w:rPr>
          <w:rFonts w:cs="Arial"/>
        </w:rPr>
        <w:t>zB</w:t>
      </w:r>
      <w:proofErr w:type="spellEnd"/>
      <w:r w:rsidR="00FF5F71">
        <w:rPr>
          <w:rFonts w:cs="Arial"/>
        </w:rPr>
        <w:t xml:space="preserve"> </w:t>
      </w:r>
      <w:r w:rsidR="00FF5F71" w:rsidRPr="00C46269">
        <w:rPr>
          <w:rFonts w:cs="Arial"/>
          <w:i/>
        </w:rPr>
        <w:t>„Statistik Austria (Bundesanstalt Statistik Österreich)</w:t>
      </w:r>
      <w:r w:rsidRPr="00C46269">
        <w:rPr>
          <w:i/>
        </w:rPr>
        <w:t>“</w:t>
      </w:r>
      <w:r w:rsidR="00FF5F71">
        <w:t xml:space="preserve">). Diese Stelle muss vom Unternehmer unabhängig sein; siehe </w:t>
      </w:r>
      <w:r w:rsidR="00314145">
        <w:t>Hinweis</w:t>
      </w:r>
      <w:r w:rsidR="00FF5F71">
        <w:t xml:space="preserve"> </w:t>
      </w:r>
      <w:proofErr w:type="spellStart"/>
      <w:r w:rsidR="00414B89">
        <w:t>Nr</w:t>
      </w:r>
      <w:proofErr w:type="spellEnd"/>
      <w:r w:rsidR="00414B89">
        <w:t> </w:t>
      </w:r>
      <w:r w:rsidR="00D8267E">
        <w:rPr>
          <w:color w:val="FF0000"/>
          <w:highlight w:val="yellow"/>
        </w:rPr>
        <w:fldChar w:fldCharType="begin"/>
      </w:r>
      <w:r w:rsidR="00D8267E">
        <w:instrText xml:space="preserve"> REF _Ref75421373 \r \h </w:instrText>
      </w:r>
      <w:r w:rsidR="00D8267E">
        <w:rPr>
          <w:color w:val="FF0000"/>
          <w:highlight w:val="yellow"/>
        </w:rPr>
      </w:r>
      <w:r w:rsidR="00D8267E">
        <w:rPr>
          <w:color w:val="FF0000"/>
          <w:highlight w:val="yellow"/>
        </w:rPr>
        <w:fldChar w:fldCharType="separate"/>
      </w:r>
      <w:r w:rsidR="00D8267E">
        <w:t>6</w:t>
      </w:r>
      <w:r w:rsidR="00D8267E">
        <w:rPr>
          <w:color w:val="FF0000"/>
          <w:highlight w:val="yellow"/>
        </w:rPr>
        <w:fldChar w:fldCharType="end"/>
      </w:r>
      <w:r w:rsidR="00FF5F71">
        <w:t>.</w:t>
      </w:r>
    </w:p>
  </w:footnote>
  <w:footnote w:id="3">
    <w:p w14:paraId="2C066B91" w14:textId="3C07DB89" w:rsidR="00F571F6" w:rsidRPr="00816AFE" w:rsidRDefault="00F571F6" w:rsidP="00F571F6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816AFE">
        <w:rPr>
          <w:rFonts w:cs="Arial"/>
        </w:rPr>
        <w:t xml:space="preserve">Hier ist </w:t>
      </w:r>
      <w:r w:rsidR="00FF5F71">
        <w:rPr>
          <w:rFonts w:cs="Arial"/>
        </w:rPr>
        <w:t xml:space="preserve">(unter möglichst genauer und vollständiger Bezeichnung) der </w:t>
      </w:r>
      <w:r w:rsidR="00FF5F71" w:rsidRPr="00CE45A0">
        <w:rPr>
          <w:rFonts w:cs="Arial"/>
          <w:b/>
        </w:rPr>
        <w:t>Index</w:t>
      </w:r>
      <w:r w:rsidR="00FF5F71">
        <w:rPr>
          <w:rFonts w:cs="Arial"/>
        </w:rPr>
        <w:t xml:space="preserve"> zu benennen, an dessen Veränderungen die Preise angepasst werden sollen (</w:t>
      </w:r>
      <w:proofErr w:type="spellStart"/>
      <w:r w:rsidR="00FF5F71">
        <w:rPr>
          <w:rFonts w:cs="Arial"/>
        </w:rPr>
        <w:t>zB</w:t>
      </w:r>
      <w:proofErr w:type="spellEnd"/>
      <w:r w:rsidR="00FF5F71">
        <w:rPr>
          <w:rFonts w:cs="Arial"/>
        </w:rPr>
        <w:t xml:space="preserve"> </w:t>
      </w:r>
      <w:r w:rsidR="00CE45A0" w:rsidRPr="00C46269">
        <w:rPr>
          <w:rFonts w:cs="Arial"/>
          <w:i/>
        </w:rPr>
        <w:t>„</w:t>
      </w:r>
      <w:r w:rsidR="00CE45A0" w:rsidRPr="00C46269">
        <w:rPr>
          <w:i/>
        </w:rPr>
        <w:t>Baukostenindex für den Wohnhaus- und Siedlungsbau, Basisjahr 2020“</w:t>
      </w:r>
      <w:r w:rsidR="00CE45A0">
        <w:t>);</w:t>
      </w:r>
      <w:r>
        <w:rPr>
          <w:i/>
        </w:rPr>
        <w:t xml:space="preserve"> </w:t>
      </w:r>
      <w:r w:rsidR="00CE45A0">
        <w:t xml:space="preserve">siehe </w:t>
      </w:r>
      <w:r w:rsidR="00314145">
        <w:t>Hinweis</w:t>
      </w:r>
      <w:r w:rsidR="00CE45A0">
        <w:t xml:space="preserve"> </w:t>
      </w:r>
      <w:proofErr w:type="spellStart"/>
      <w:r w:rsidR="00414B89">
        <w:t>Nr</w:t>
      </w:r>
      <w:proofErr w:type="spellEnd"/>
      <w:r w:rsidR="00414B89">
        <w:t> </w:t>
      </w:r>
      <w:r w:rsidR="00D8267E">
        <w:rPr>
          <w:color w:val="FF0000"/>
          <w:highlight w:val="yellow"/>
        </w:rPr>
        <w:fldChar w:fldCharType="begin"/>
      </w:r>
      <w:r w:rsidR="00D8267E">
        <w:instrText xml:space="preserve"> REF _Ref75421373 \r \h </w:instrText>
      </w:r>
      <w:r w:rsidR="00D8267E">
        <w:rPr>
          <w:color w:val="FF0000"/>
          <w:highlight w:val="yellow"/>
        </w:rPr>
      </w:r>
      <w:r w:rsidR="00D8267E">
        <w:rPr>
          <w:color w:val="FF0000"/>
          <w:highlight w:val="yellow"/>
        </w:rPr>
        <w:fldChar w:fldCharType="separate"/>
      </w:r>
      <w:r w:rsidR="00D8267E">
        <w:t>6</w:t>
      </w:r>
      <w:r w:rsidR="00D8267E">
        <w:rPr>
          <w:color w:val="FF0000"/>
          <w:highlight w:val="yellow"/>
        </w:rPr>
        <w:fldChar w:fldCharType="end"/>
      </w:r>
      <w:r w:rsidR="00CE45A0">
        <w:t>.</w:t>
      </w:r>
    </w:p>
  </w:footnote>
  <w:footnote w:id="4">
    <w:p w14:paraId="68AD77AA" w14:textId="147DE3F3" w:rsidR="00F571F6" w:rsidRPr="00816AFE" w:rsidRDefault="00F571F6" w:rsidP="00F571F6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="00B604FF" w:rsidRPr="00816AFE">
        <w:rPr>
          <w:rFonts w:cs="Arial"/>
        </w:rPr>
        <w:t xml:space="preserve">Hier ist </w:t>
      </w:r>
      <w:r w:rsidR="00B604FF">
        <w:rPr>
          <w:rFonts w:cs="Arial"/>
        </w:rPr>
        <w:t xml:space="preserve">(unter möglichst genauer und vollständiger Bezeichnung) die </w:t>
      </w:r>
      <w:r w:rsidR="00B604FF">
        <w:rPr>
          <w:rFonts w:cs="Arial"/>
          <w:b/>
        </w:rPr>
        <w:t>Fundstelle</w:t>
      </w:r>
      <w:r w:rsidR="00B604FF">
        <w:rPr>
          <w:rFonts w:cs="Arial"/>
        </w:rPr>
        <w:t xml:space="preserve"> zu benennen, an </w:t>
      </w:r>
      <w:r w:rsidR="00C46269">
        <w:rPr>
          <w:rFonts w:cs="Arial"/>
        </w:rPr>
        <w:t xml:space="preserve">welcher </w:t>
      </w:r>
      <w:r w:rsidR="00B604FF">
        <w:rPr>
          <w:rFonts w:cs="Arial"/>
        </w:rPr>
        <w:t xml:space="preserve">die Indexzahlen zu finden sind. Bei Fundstellen im Internet ist statt eines </w:t>
      </w:r>
      <w:r w:rsidR="00C46269">
        <w:rPr>
          <w:rFonts w:cs="Arial"/>
        </w:rPr>
        <w:t>bloßen</w:t>
      </w:r>
      <w:r w:rsidR="00B604FF">
        <w:rPr>
          <w:rFonts w:cs="Arial"/>
        </w:rPr>
        <w:t xml:space="preserve"> Verweises auf </w:t>
      </w:r>
      <w:r w:rsidR="00C46269">
        <w:rPr>
          <w:rFonts w:cs="Arial"/>
        </w:rPr>
        <w:t>die</w:t>
      </w:r>
      <w:r w:rsidR="00B604FF">
        <w:rPr>
          <w:rFonts w:cs="Arial"/>
        </w:rPr>
        <w:t xml:space="preserve"> Website (</w:t>
      </w:r>
      <w:proofErr w:type="spellStart"/>
      <w:r w:rsidR="00B604FF">
        <w:rPr>
          <w:rFonts w:cs="Arial"/>
        </w:rPr>
        <w:t>zB</w:t>
      </w:r>
      <w:proofErr w:type="spellEnd"/>
      <w:r w:rsidR="00B604FF">
        <w:rPr>
          <w:rFonts w:cs="Arial"/>
        </w:rPr>
        <w:t xml:space="preserve"> </w:t>
      </w:r>
      <w:r w:rsidR="00B604FF" w:rsidRPr="00C46269">
        <w:rPr>
          <w:rFonts w:cs="Arial"/>
          <w:i/>
        </w:rPr>
        <w:t>„</w:t>
      </w:r>
      <w:r w:rsidR="00B604FF" w:rsidRPr="00C46269">
        <w:rPr>
          <w:i/>
        </w:rPr>
        <w:t>http://www.statistik.at</w:t>
      </w:r>
      <w:r w:rsidR="00B604FF" w:rsidRPr="00C46269">
        <w:rPr>
          <w:rFonts w:cs="Arial"/>
          <w:i/>
        </w:rPr>
        <w:t>“</w:t>
      </w:r>
      <w:r w:rsidR="00B604FF" w:rsidRPr="00C46269">
        <w:rPr>
          <w:rFonts w:cs="Arial"/>
        </w:rPr>
        <w:t xml:space="preserve">) </w:t>
      </w:r>
      <w:r w:rsidR="00C46269">
        <w:rPr>
          <w:rFonts w:cs="Arial"/>
        </w:rPr>
        <w:t>die</w:t>
      </w:r>
      <w:r w:rsidR="00B604FF" w:rsidRPr="00C46269">
        <w:rPr>
          <w:rFonts w:cs="Arial"/>
        </w:rPr>
        <w:t xml:space="preserve"> konkrete URL anzugeben (zB </w:t>
      </w:r>
      <w:r w:rsidR="00B604FF" w:rsidRPr="00C46269">
        <w:rPr>
          <w:rFonts w:cs="Arial"/>
          <w:i/>
        </w:rPr>
        <w:t>„</w:t>
      </w:r>
      <w:r w:rsidR="00B604FF" w:rsidRPr="00C46269">
        <w:rPr>
          <w:i/>
        </w:rPr>
        <w:t>http://www.statistik.at/web_de/statistiken/wirtschaft/preise/baukostenindex/023119.html“</w:t>
      </w:r>
      <w:r w:rsidR="00B604FF">
        <w:t>);</w:t>
      </w:r>
      <w:r w:rsidR="00B604FF">
        <w:rPr>
          <w:i/>
        </w:rPr>
        <w:t xml:space="preserve"> </w:t>
      </w:r>
      <w:r w:rsidR="00B604FF">
        <w:t xml:space="preserve">siehe </w:t>
      </w:r>
      <w:r w:rsidR="00314145">
        <w:t>Hinweis</w:t>
      </w:r>
      <w:r w:rsidR="00B604FF">
        <w:t xml:space="preserve"> </w:t>
      </w:r>
      <w:proofErr w:type="spellStart"/>
      <w:r w:rsidR="00414B89">
        <w:t>Nr</w:t>
      </w:r>
      <w:proofErr w:type="spellEnd"/>
      <w:r w:rsidR="00414B89">
        <w:t> </w:t>
      </w:r>
      <w:r w:rsidR="00D8267E">
        <w:rPr>
          <w:color w:val="FF0000"/>
          <w:highlight w:val="yellow"/>
        </w:rPr>
        <w:fldChar w:fldCharType="begin"/>
      </w:r>
      <w:r w:rsidR="00D8267E">
        <w:instrText xml:space="preserve"> REF _Ref75421373 \r \h </w:instrText>
      </w:r>
      <w:r w:rsidR="00D8267E">
        <w:rPr>
          <w:color w:val="FF0000"/>
          <w:highlight w:val="yellow"/>
        </w:rPr>
      </w:r>
      <w:r w:rsidR="00D8267E">
        <w:rPr>
          <w:color w:val="FF0000"/>
          <w:highlight w:val="yellow"/>
        </w:rPr>
        <w:fldChar w:fldCharType="separate"/>
      </w:r>
      <w:r w:rsidR="00D8267E">
        <w:t>6</w:t>
      </w:r>
      <w:r w:rsidR="00D8267E">
        <w:rPr>
          <w:color w:val="FF0000"/>
          <w:highlight w:val="yellow"/>
        </w:rPr>
        <w:fldChar w:fldCharType="end"/>
      </w:r>
      <w:r w:rsidRPr="00816AFE">
        <w:t>.</w:t>
      </w:r>
      <w:r>
        <w:rPr>
          <w:i/>
        </w:rPr>
        <w:t xml:space="preserve"> </w:t>
      </w:r>
    </w:p>
  </w:footnote>
  <w:footnote w:id="5">
    <w:p w14:paraId="7A2AFBBE" w14:textId="260FE720" w:rsidR="00517232" w:rsidRPr="000F695B" w:rsidRDefault="00517232" w:rsidP="006E1600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="00C241F9">
        <w:rPr>
          <w:rFonts w:cs="Arial"/>
        </w:rPr>
        <w:t>Siehe Fußnote </w:t>
      </w:r>
      <w:r w:rsidR="00C241F9">
        <w:rPr>
          <w:rFonts w:cs="Arial"/>
        </w:rPr>
        <w:fldChar w:fldCharType="begin"/>
      </w:r>
      <w:r w:rsidR="00C241F9">
        <w:rPr>
          <w:rFonts w:cs="Arial"/>
        </w:rPr>
        <w:instrText xml:space="preserve"> NOTEREF _Ref74390442 \h </w:instrText>
      </w:r>
      <w:r w:rsidR="006E1600">
        <w:rPr>
          <w:rFonts w:cs="Arial"/>
        </w:rPr>
        <w:instrText xml:space="preserve"> \* MERGEFORMAT </w:instrText>
      </w:r>
      <w:r w:rsidR="00C241F9">
        <w:rPr>
          <w:rFonts w:cs="Arial"/>
        </w:rPr>
      </w:r>
      <w:r w:rsidR="00C241F9">
        <w:rPr>
          <w:rFonts w:cs="Arial"/>
        </w:rPr>
        <w:fldChar w:fldCharType="separate"/>
      </w:r>
      <w:r w:rsidR="00384A27">
        <w:rPr>
          <w:rFonts w:cs="Arial"/>
        </w:rPr>
        <w:t>1</w:t>
      </w:r>
      <w:r w:rsidR="00C241F9">
        <w:rPr>
          <w:rFonts w:cs="Arial"/>
        </w:rPr>
        <w:fldChar w:fldCharType="end"/>
      </w:r>
      <w:r w:rsidR="00C241F9">
        <w:rPr>
          <w:rFonts w:cs="Arial"/>
        </w:rPr>
        <w:t>.</w:t>
      </w:r>
    </w:p>
  </w:footnote>
  <w:footnote w:id="6">
    <w:p w14:paraId="7A1A6C91" w14:textId="0424A3E9" w:rsidR="00517232" w:rsidRPr="000F695B" w:rsidRDefault="00517232" w:rsidP="006E1600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="00C241F9">
        <w:rPr>
          <w:rFonts w:cs="Arial"/>
        </w:rPr>
        <w:t>Siehe Fußnote </w:t>
      </w:r>
      <w:r w:rsidR="00C241F9">
        <w:rPr>
          <w:rFonts w:cs="Arial"/>
        </w:rPr>
        <w:fldChar w:fldCharType="begin"/>
      </w:r>
      <w:r w:rsidR="00C241F9">
        <w:rPr>
          <w:rFonts w:cs="Arial"/>
        </w:rPr>
        <w:instrText xml:space="preserve"> NOTEREF _Ref74390442 \h </w:instrText>
      </w:r>
      <w:r w:rsidR="006E1600">
        <w:rPr>
          <w:rFonts w:cs="Arial"/>
        </w:rPr>
        <w:instrText xml:space="preserve"> \* MERGEFORMAT </w:instrText>
      </w:r>
      <w:r w:rsidR="00C241F9">
        <w:rPr>
          <w:rFonts w:cs="Arial"/>
        </w:rPr>
      </w:r>
      <w:r w:rsidR="00C241F9">
        <w:rPr>
          <w:rFonts w:cs="Arial"/>
        </w:rPr>
        <w:fldChar w:fldCharType="separate"/>
      </w:r>
      <w:r w:rsidR="00384A27">
        <w:rPr>
          <w:rFonts w:cs="Arial"/>
        </w:rPr>
        <w:t>1</w:t>
      </w:r>
      <w:r w:rsidR="00C241F9">
        <w:rPr>
          <w:rFonts w:cs="Arial"/>
        </w:rPr>
        <w:fldChar w:fldCharType="end"/>
      </w:r>
      <w:r w:rsidR="00C241F9">
        <w:rPr>
          <w:rFonts w:cs="Arial"/>
        </w:rPr>
        <w:t>.</w:t>
      </w:r>
    </w:p>
  </w:footnote>
  <w:footnote w:id="7">
    <w:p w14:paraId="7C4E95CC" w14:textId="38F968B5" w:rsidR="009D59C0" w:rsidRPr="000F695B" w:rsidRDefault="009D59C0" w:rsidP="009D59C0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="00F93C8B">
        <w:rPr>
          <w:rFonts w:cs="Arial"/>
        </w:rPr>
        <w:t>Siehe Fußnote </w:t>
      </w:r>
      <w:r w:rsidR="00F93C8B">
        <w:rPr>
          <w:rFonts w:cs="Arial"/>
        </w:rPr>
        <w:fldChar w:fldCharType="begin"/>
      </w:r>
      <w:r w:rsidR="00F93C8B">
        <w:rPr>
          <w:rFonts w:cs="Arial"/>
        </w:rPr>
        <w:instrText xml:space="preserve"> NOTEREF _Ref74390442 \h  \* MERGEFORMAT </w:instrText>
      </w:r>
      <w:r w:rsidR="00F93C8B">
        <w:rPr>
          <w:rFonts w:cs="Arial"/>
        </w:rPr>
      </w:r>
      <w:r w:rsidR="00F93C8B">
        <w:rPr>
          <w:rFonts w:cs="Arial"/>
        </w:rPr>
        <w:fldChar w:fldCharType="separate"/>
      </w:r>
      <w:r w:rsidR="00384A27">
        <w:rPr>
          <w:rFonts w:cs="Arial"/>
        </w:rPr>
        <w:t>1</w:t>
      </w:r>
      <w:r w:rsidR="00F93C8B">
        <w:rPr>
          <w:rFonts w:cs="Arial"/>
        </w:rPr>
        <w:fldChar w:fldCharType="end"/>
      </w:r>
      <w:r>
        <w:rPr>
          <w:rFonts w:cs="Arial"/>
        </w:rPr>
        <w:t>.</w:t>
      </w:r>
    </w:p>
  </w:footnote>
  <w:footnote w:id="8">
    <w:p w14:paraId="3E3ED981" w14:textId="3C9E9833" w:rsidR="009D59C0" w:rsidRPr="00816AFE" w:rsidRDefault="009D59C0" w:rsidP="009D59C0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816AFE">
        <w:rPr>
          <w:rFonts w:cs="Arial"/>
        </w:rPr>
        <w:t xml:space="preserve">Hier ist </w:t>
      </w:r>
      <w:r w:rsidR="00BA7707">
        <w:rPr>
          <w:rFonts w:cs="Arial"/>
        </w:rPr>
        <w:t xml:space="preserve">der </w:t>
      </w:r>
      <w:r w:rsidR="00BA7707" w:rsidRPr="00BA7707">
        <w:rPr>
          <w:rFonts w:cs="Arial"/>
          <w:b/>
        </w:rPr>
        <w:t>prozentuelle Anteil</w:t>
      </w:r>
      <w:r>
        <w:rPr>
          <w:rFonts w:cs="Arial"/>
        </w:rPr>
        <w:t xml:space="preserve"> zu benennen, </w:t>
      </w:r>
      <w:r w:rsidR="00BA7707">
        <w:rPr>
          <w:rFonts w:cs="Arial"/>
        </w:rPr>
        <w:t xml:space="preserve">zu dem Veränderungen des gewählten </w:t>
      </w:r>
      <w:r>
        <w:rPr>
          <w:rFonts w:cs="Arial"/>
        </w:rPr>
        <w:t xml:space="preserve">Index </w:t>
      </w:r>
      <w:r w:rsidR="00BA7707">
        <w:rPr>
          <w:rFonts w:cs="Arial"/>
        </w:rPr>
        <w:t>auf die vereinbarten Preise durchschlagen sollen. Dieser Anteil sollte (möglichst genau) dem Anteil entsprechen,</w:t>
      </w:r>
      <w:r>
        <w:rPr>
          <w:rFonts w:cs="Arial"/>
        </w:rPr>
        <w:t xml:space="preserve"> </w:t>
      </w:r>
      <w:r w:rsidR="00BA7707">
        <w:rPr>
          <w:rFonts w:cs="Arial"/>
        </w:rPr>
        <w:t>mit dem der vom Index abgebildete Kostenfaktor in die Preiskalkulation eingeflossen ist</w:t>
      </w:r>
      <w:r w:rsidR="00BA7707">
        <w:t xml:space="preserve">; siehe </w:t>
      </w:r>
      <w:r w:rsidR="00314145">
        <w:t>Hinweis</w:t>
      </w:r>
      <w:r w:rsidR="00BA7707">
        <w:t xml:space="preserve"> </w:t>
      </w:r>
      <w:r w:rsidR="00D8267E">
        <w:rPr>
          <w:color w:val="FF0000"/>
          <w:highlight w:val="yellow"/>
        </w:rPr>
        <w:fldChar w:fldCharType="begin"/>
      </w:r>
      <w:r w:rsidR="00D8267E">
        <w:instrText xml:space="preserve"> REF _Ref75421373 \r \h </w:instrText>
      </w:r>
      <w:r w:rsidR="00D8267E">
        <w:rPr>
          <w:color w:val="FF0000"/>
          <w:highlight w:val="yellow"/>
        </w:rPr>
      </w:r>
      <w:r w:rsidR="00D8267E">
        <w:rPr>
          <w:color w:val="FF0000"/>
          <w:highlight w:val="yellow"/>
        </w:rPr>
        <w:fldChar w:fldCharType="separate"/>
      </w:r>
      <w:r w:rsidR="00D8267E">
        <w:t>6</w:t>
      </w:r>
      <w:r w:rsidR="00D8267E">
        <w:rPr>
          <w:color w:val="FF0000"/>
          <w:highlight w:val="yellow"/>
        </w:rPr>
        <w:fldChar w:fldCharType="end"/>
      </w:r>
      <w:r w:rsidR="00BA7707">
        <w:rPr>
          <w:rFonts w:cs="Arial"/>
        </w:rPr>
        <w:t>. Wird etwa der Preis des Produktes zu 40 % vom Stahlpreis bestimmt, wäre er mit einem Preisanteil von 40 % nach dem betreffenden Stahlpreisindex wertzusichern.</w:t>
      </w:r>
    </w:p>
  </w:footnote>
  <w:footnote w:id="9">
    <w:p w14:paraId="6DD59F14" w14:textId="284654B3" w:rsidR="009D59C0" w:rsidRPr="00816AFE" w:rsidRDefault="009D59C0" w:rsidP="009D59C0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="00384A27" w:rsidRPr="00816AFE">
        <w:rPr>
          <w:rFonts w:cs="Arial"/>
        </w:rPr>
        <w:t xml:space="preserve">Hier ist </w:t>
      </w:r>
      <w:r w:rsidR="00384A27">
        <w:rPr>
          <w:rFonts w:cs="Arial"/>
        </w:rPr>
        <w:t xml:space="preserve">(unter möglichst genauer und vollständiger Bezeichnung) die </w:t>
      </w:r>
      <w:r w:rsidR="00384A27" w:rsidRPr="00CE45A0">
        <w:rPr>
          <w:rFonts w:cs="Arial"/>
          <w:b/>
        </w:rPr>
        <w:t>Stelle</w:t>
      </w:r>
      <w:r w:rsidR="00384A27">
        <w:rPr>
          <w:rFonts w:cs="Arial"/>
        </w:rPr>
        <w:t xml:space="preserve"> zu benennen, welche den Index veröffentlicht (</w:t>
      </w:r>
      <w:proofErr w:type="spellStart"/>
      <w:r w:rsidR="00384A27">
        <w:rPr>
          <w:rFonts w:cs="Arial"/>
        </w:rPr>
        <w:t>zB</w:t>
      </w:r>
      <w:proofErr w:type="spellEnd"/>
      <w:r w:rsidR="00384A27">
        <w:rPr>
          <w:rFonts w:cs="Arial"/>
        </w:rPr>
        <w:t xml:space="preserve"> </w:t>
      </w:r>
      <w:r w:rsidR="00384A27" w:rsidRPr="00C46269">
        <w:rPr>
          <w:rFonts w:cs="Arial"/>
          <w:i/>
        </w:rPr>
        <w:t>„Statistik Austria (Bundesanstalt Statistik Österreich)</w:t>
      </w:r>
      <w:r w:rsidR="00384A27" w:rsidRPr="00C46269">
        <w:rPr>
          <w:i/>
        </w:rPr>
        <w:t>“</w:t>
      </w:r>
      <w:r w:rsidR="00384A27">
        <w:t xml:space="preserve">). Diese Stelle muss vom Unternehmer unabhängig sein; siehe Hinweis </w:t>
      </w:r>
      <w:proofErr w:type="spellStart"/>
      <w:r w:rsidR="00414B89">
        <w:t>Nr</w:t>
      </w:r>
      <w:proofErr w:type="spellEnd"/>
      <w:r w:rsidR="00414B89">
        <w:t> </w:t>
      </w:r>
      <w:r w:rsidR="00D8267E">
        <w:rPr>
          <w:color w:val="FF0000"/>
          <w:highlight w:val="yellow"/>
        </w:rPr>
        <w:fldChar w:fldCharType="begin"/>
      </w:r>
      <w:r w:rsidR="00D8267E">
        <w:instrText xml:space="preserve"> REF _Ref75421373 \r \h </w:instrText>
      </w:r>
      <w:r w:rsidR="00D8267E">
        <w:rPr>
          <w:color w:val="FF0000"/>
          <w:highlight w:val="yellow"/>
        </w:rPr>
      </w:r>
      <w:r w:rsidR="00D8267E">
        <w:rPr>
          <w:color w:val="FF0000"/>
          <w:highlight w:val="yellow"/>
        </w:rPr>
        <w:fldChar w:fldCharType="separate"/>
      </w:r>
      <w:r w:rsidR="00D8267E">
        <w:t>6</w:t>
      </w:r>
      <w:r w:rsidR="00D8267E">
        <w:rPr>
          <w:color w:val="FF0000"/>
          <w:highlight w:val="yellow"/>
        </w:rPr>
        <w:fldChar w:fldCharType="end"/>
      </w:r>
      <w:r w:rsidR="00384A27">
        <w:t>.</w:t>
      </w:r>
    </w:p>
  </w:footnote>
  <w:footnote w:id="10">
    <w:p w14:paraId="3744B8BA" w14:textId="2D2C1A3D" w:rsidR="009D59C0" w:rsidRPr="00816AFE" w:rsidRDefault="009D59C0" w:rsidP="009D59C0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816AFE">
        <w:rPr>
          <w:rFonts w:cs="Arial"/>
        </w:rPr>
        <w:t xml:space="preserve">Hier ist </w:t>
      </w:r>
      <w:r>
        <w:rPr>
          <w:rFonts w:cs="Arial"/>
        </w:rPr>
        <w:t xml:space="preserve">(unter möglichst genauer und vollständiger Bezeichnung) der </w:t>
      </w:r>
      <w:r w:rsidRPr="00CE45A0">
        <w:rPr>
          <w:rFonts w:cs="Arial"/>
          <w:b/>
        </w:rPr>
        <w:t>Index</w:t>
      </w:r>
      <w:r>
        <w:rPr>
          <w:rFonts w:cs="Arial"/>
        </w:rPr>
        <w:t xml:space="preserve"> zu benennen, an dessen Veränderungen die Preise angepasst werden sollen (</w:t>
      </w:r>
      <w:proofErr w:type="spellStart"/>
      <w:r>
        <w:rPr>
          <w:rFonts w:cs="Arial"/>
        </w:rPr>
        <w:t>zB</w:t>
      </w:r>
      <w:proofErr w:type="spellEnd"/>
      <w:r>
        <w:rPr>
          <w:rFonts w:cs="Arial"/>
        </w:rPr>
        <w:t xml:space="preserve"> </w:t>
      </w:r>
      <w:r w:rsidRPr="00C46269">
        <w:rPr>
          <w:rFonts w:cs="Arial"/>
          <w:i/>
        </w:rPr>
        <w:t>„</w:t>
      </w:r>
      <w:r w:rsidR="003B1C4A" w:rsidRPr="005F11C2">
        <w:rPr>
          <w:i/>
        </w:rPr>
        <w:t>Großhandelspreisindex 2020=100 für Eisen und Stahl (Pos. 46.72.13</w:t>
      </w:r>
      <w:r w:rsidR="003B1C4A" w:rsidRPr="005F11C2">
        <w:rPr>
          <w:rFonts w:cs="Arial"/>
          <w:i/>
        </w:rPr>
        <w:t>)</w:t>
      </w:r>
      <w:r w:rsidRPr="00C46269">
        <w:rPr>
          <w:i/>
        </w:rPr>
        <w:t>“</w:t>
      </w:r>
      <w:r>
        <w:t>);</w:t>
      </w:r>
      <w:r>
        <w:rPr>
          <w:i/>
        </w:rPr>
        <w:t xml:space="preserve"> </w:t>
      </w:r>
      <w:r>
        <w:t xml:space="preserve">siehe </w:t>
      </w:r>
      <w:r w:rsidR="00314145">
        <w:t>Hinweis</w:t>
      </w:r>
      <w:r>
        <w:t xml:space="preserve"> </w:t>
      </w:r>
      <w:proofErr w:type="spellStart"/>
      <w:r w:rsidR="00414B89">
        <w:t>Nr</w:t>
      </w:r>
      <w:proofErr w:type="spellEnd"/>
      <w:r w:rsidR="00414B89">
        <w:t> </w:t>
      </w:r>
      <w:r w:rsidR="00D8267E">
        <w:rPr>
          <w:color w:val="FF0000"/>
          <w:highlight w:val="yellow"/>
        </w:rPr>
        <w:fldChar w:fldCharType="begin"/>
      </w:r>
      <w:r w:rsidR="00D8267E">
        <w:instrText xml:space="preserve"> REF _Ref75421373 \r \h </w:instrText>
      </w:r>
      <w:r w:rsidR="00D8267E">
        <w:rPr>
          <w:color w:val="FF0000"/>
          <w:highlight w:val="yellow"/>
        </w:rPr>
      </w:r>
      <w:r w:rsidR="00D8267E">
        <w:rPr>
          <w:color w:val="FF0000"/>
          <w:highlight w:val="yellow"/>
        </w:rPr>
        <w:fldChar w:fldCharType="separate"/>
      </w:r>
      <w:r w:rsidR="00D8267E">
        <w:t>6</w:t>
      </w:r>
      <w:r w:rsidR="00D8267E">
        <w:rPr>
          <w:color w:val="FF0000"/>
          <w:highlight w:val="yellow"/>
        </w:rPr>
        <w:fldChar w:fldCharType="end"/>
      </w:r>
      <w:r>
        <w:t>.</w:t>
      </w:r>
    </w:p>
  </w:footnote>
  <w:footnote w:id="11">
    <w:p w14:paraId="626F9827" w14:textId="092B02B4" w:rsidR="009D59C0" w:rsidRPr="00816AFE" w:rsidRDefault="009D59C0" w:rsidP="009D59C0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="00384A27" w:rsidRPr="00816AFE">
        <w:rPr>
          <w:rFonts w:cs="Arial"/>
        </w:rPr>
        <w:t xml:space="preserve">Hier ist </w:t>
      </w:r>
      <w:r w:rsidR="00384A27">
        <w:rPr>
          <w:rFonts w:cs="Arial"/>
        </w:rPr>
        <w:t xml:space="preserve">(unter möglichst genauer und vollständiger Bezeichnung) die </w:t>
      </w:r>
      <w:r w:rsidR="00384A27">
        <w:rPr>
          <w:rFonts w:cs="Arial"/>
          <w:b/>
        </w:rPr>
        <w:t>Fundstelle</w:t>
      </w:r>
      <w:r w:rsidR="00384A27">
        <w:rPr>
          <w:rFonts w:cs="Arial"/>
        </w:rPr>
        <w:t xml:space="preserve"> zu benennen, an welcher die Indexzahlen zu finden sind. Bei Fundstellen im Internet ist statt eines bloßen Verweises auf die Website (</w:t>
      </w:r>
      <w:proofErr w:type="spellStart"/>
      <w:r w:rsidR="00384A27">
        <w:rPr>
          <w:rFonts w:cs="Arial"/>
        </w:rPr>
        <w:t>zB</w:t>
      </w:r>
      <w:proofErr w:type="spellEnd"/>
      <w:r w:rsidR="00384A27">
        <w:rPr>
          <w:rFonts w:cs="Arial"/>
        </w:rPr>
        <w:t xml:space="preserve"> </w:t>
      </w:r>
      <w:r w:rsidR="00384A27" w:rsidRPr="00C46269">
        <w:rPr>
          <w:rFonts w:cs="Arial"/>
          <w:i/>
        </w:rPr>
        <w:t>„</w:t>
      </w:r>
      <w:r w:rsidR="00384A27" w:rsidRPr="00C46269">
        <w:rPr>
          <w:i/>
        </w:rPr>
        <w:t>http://www.statistik.at</w:t>
      </w:r>
      <w:r w:rsidR="00384A27" w:rsidRPr="00C46269">
        <w:rPr>
          <w:rFonts w:cs="Arial"/>
          <w:i/>
        </w:rPr>
        <w:t>“</w:t>
      </w:r>
      <w:r w:rsidR="00384A27" w:rsidRPr="00C46269">
        <w:rPr>
          <w:rFonts w:cs="Arial"/>
        </w:rPr>
        <w:t xml:space="preserve">) </w:t>
      </w:r>
      <w:r w:rsidR="00384A27">
        <w:rPr>
          <w:rFonts w:cs="Arial"/>
        </w:rPr>
        <w:t>die</w:t>
      </w:r>
      <w:r w:rsidR="00384A27" w:rsidRPr="00C46269">
        <w:rPr>
          <w:rFonts w:cs="Arial"/>
        </w:rPr>
        <w:t xml:space="preserve"> konkrete URL anzugeben (zB </w:t>
      </w:r>
      <w:r w:rsidR="00384A27" w:rsidRPr="00C46269">
        <w:rPr>
          <w:rFonts w:cs="Arial"/>
          <w:i/>
        </w:rPr>
        <w:t>„</w:t>
      </w:r>
      <w:r w:rsidR="00384A27" w:rsidRPr="00C46269">
        <w:rPr>
          <w:i/>
        </w:rPr>
        <w:t>http://www.statistik.at/web_de/statistiken/wirtschaft/preise/baukostenindex/023119.html“</w:t>
      </w:r>
      <w:r w:rsidR="00384A27">
        <w:t>);</w:t>
      </w:r>
      <w:r w:rsidR="00384A27">
        <w:rPr>
          <w:i/>
        </w:rPr>
        <w:t xml:space="preserve"> </w:t>
      </w:r>
      <w:r w:rsidR="00384A27">
        <w:t xml:space="preserve">siehe Hinweis </w:t>
      </w:r>
      <w:proofErr w:type="spellStart"/>
      <w:r w:rsidR="00414B89">
        <w:t>Nr</w:t>
      </w:r>
      <w:proofErr w:type="spellEnd"/>
      <w:r w:rsidR="00414B89">
        <w:t> </w:t>
      </w:r>
      <w:r w:rsidR="00D8267E">
        <w:rPr>
          <w:color w:val="FF0000"/>
          <w:highlight w:val="yellow"/>
        </w:rPr>
        <w:fldChar w:fldCharType="begin"/>
      </w:r>
      <w:r w:rsidR="00D8267E">
        <w:instrText xml:space="preserve"> REF _Ref75421373 \r \h </w:instrText>
      </w:r>
      <w:r w:rsidR="00D8267E">
        <w:rPr>
          <w:color w:val="FF0000"/>
          <w:highlight w:val="yellow"/>
        </w:rPr>
      </w:r>
      <w:r w:rsidR="00D8267E">
        <w:rPr>
          <w:color w:val="FF0000"/>
          <w:highlight w:val="yellow"/>
        </w:rPr>
        <w:fldChar w:fldCharType="separate"/>
      </w:r>
      <w:r w:rsidR="00D8267E">
        <w:t>6</w:t>
      </w:r>
      <w:r w:rsidR="00D8267E">
        <w:rPr>
          <w:color w:val="FF0000"/>
          <w:highlight w:val="yellow"/>
        </w:rPr>
        <w:fldChar w:fldCharType="end"/>
      </w:r>
      <w:r w:rsidR="00384A27">
        <w:t xml:space="preserve"> </w:t>
      </w:r>
      <w:r w:rsidR="00384A27" w:rsidRPr="00816AFE">
        <w:t>.</w:t>
      </w:r>
      <w:r>
        <w:rPr>
          <w:i/>
        </w:rPr>
        <w:t xml:space="preserve"> </w:t>
      </w:r>
    </w:p>
  </w:footnote>
  <w:footnote w:id="12">
    <w:p w14:paraId="6E2CEF2D" w14:textId="77777777" w:rsidR="009D59C0" w:rsidRPr="000F695B" w:rsidRDefault="009D59C0" w:rsidP="009D59C0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rFonts w:cs="Arial"/>
        </w:rPr>
        <w:t>Siehe Fußnote </w:t>
      </w:r>
      <w:r>
        <w:rPr>
          <w:rFonts w:cs="Arial"/>
        </w:rPr>
        <w:fldChar w:fldCharType="begin"/>
      </w:r>
      <w:r>
        <w:rPr>
          <w:rFonts w:cs="Arial"/>
        </w:rPr>
        <w:instrText xml:space="preserve"> NOTEREF _Ref74390442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1</w:t>
      </w:r>
      <w:r>
        <w:rPr>
          <w:rFonts w:cs="Arial"/>
        </w:rPr>
        <w:fldChar w:fldCharType="end"/>
      </w:r>
      <w:r>
        <w:rPr>
          <w:rFonts w:cs="Arial"/>
        </w:rPr>
        <w:t>.</w:t>
      </w:r>
    </w:p>
  </w:footnote>
  <w:footnote w:id="13">
    <w:p w14:paraId="4CE07779" w14:textId="77777777" w:rsidR="009D59C0" w:rsidRPr="000F695B" w:rsidRDefault="009D59C0" w:rsidP="009D59C0">
      <w:pPr>
        <w:pStyle w:val="Funotentext"/>
        <w:ind w:left="426" w:hanging="426"/>
        <w:jc w:val="both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rFonts w:cs="Arial"/>
        </w:rPr>
        <w:t>Siehe Fußnote </w:t>
      </w:r>
      <w:r>
        <w:rPr>
          <w:rFonts w:cs="Arial"/>
        </w:rPr>
        <w:fldChar w:fldCharType="begin"/>
      </w:r>
      <w:r>
        <w:rPr>
          <w:rFonts w:cs="Arial"/>
        </w:rPr>
        <w:instrText xml:space="preserve"> NOTEREF _Ref74390442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1</w:t>
      </w:r>
      <w:r>
        <w:rPr>
          <w:rFonts w:cs="Arial"/>
        </w:rPr>
        <w:fldChar w:fldCharType="end"/>
      </w:r>
      <w:r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3ED3" w14:textId="215BF751" w:rsidR="000A410D" w:rsidRPr="00316A28" w:rsidRDefault="005D6818" w:rsidP="00316A28">
    <w:pPr>
      <w:pStyle w:val="Kopfzeile"/>
      <w:spacing w:after="480"/>
      <w:rPr>
        <w:color w:val="808080" w:themeColor="background1" w:themeShade="80"/>
      </w:rPr>
    </w:pPr>
    <w:r w:rsidRPr="005D6818">
      <w:rPr>
        <w:b/>
        <w:bCs/>
        <w:color w:val="808080" w:themeColor="background1" w:themeShade="80"/>
      </w:rPr>
      <w:t xml:space="preserve">Dieses Muster stellt die Fachorganisation/Wirtschaftskammer Österreich zur freiwilligen Nutzung zur Verfügung. Dessen Verwendung ist daher nicht verpflichtend und die Entscheidung hierüber liegt </w:t>
    </w:r>
    <w:proofErr w:type="gramStart"/>
    <w:r w:rsidRPr="005D6818">
      <w:rPr>
        <w:b/>
        <w:bCs/>
        <w:color w:val="808080" w:themeColor="background1" w:themeShade="80"/>
      </w:rPr>
      <w:t>alleine</w:t>
    </w:r>
    <w:proofErr w:type="gramEnd"/>
    <w:r w:rsidRPr="005D6818">
      <w:rPr>
        <w:b/>
        <w:bCs/>
        <w:color w:val="808080" w:themeColor="background1" w:themeShade="80"/>
      </w:rPr>
      <w:t xml:space="preserve"> bei den Mitgliedsunternehmen.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0454" w14:textId="02AAEABB" w:rsidR="000A410D" w:rsidRDefault="000A410D" w:rsidP="00316A28">
    <w:pPr>
      <w:pStyle w:val="Kopfzeile"/>
      <w:spacing w:after="480"/>
    </w:pPr>
    <w:r>
      <w:rPr>
        <w:b/>
        <w:bCs/>
      </w:rPr>
      <w:t>Dieses Muster stellt die Fachorganisation/Wirtschaftskammer Österreich zur freiwilligen Nutzung zur Verfügung!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2C3"/>
    <w:multiLevelType w:val="hybridMultilevel"/>
    <w:tmpl w:val="C0947400"/>
    <w:lvl w:ilvl="0" w:tplc="C5BAE6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50A4"/>
    <w:multiLevelType w:val="hybridMultilevel"/>
    <w:tmpl w:val="AB3CC3AE"/>
    <w:lvl w:ilvl="0" w:tplc="63A2B77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756A"/>
    <w:multiLevelType w:val="hybridMultilevel"/>
    <w:tmpl w:val="7CD67B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A56"/>
    <w:multiLevelType w:val="multilevel"/>
    <w:tmpl w:val="883E407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" w15:restartNumberingAfterBreak="0">
    <w:nsid w:val="11D55D5D"/>
    <w:multiLevelType w:val="multilevel"/>
    <w:tmpl w:val="ED94D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5B4FB4"/>
    <w:multiLevelType w:val="hybridMultilevel"/>
    <w:tmpl w:val="7236E3A4"/>
    <w:lvl w:ilvl="0" w:tplc="02502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2D8C"/>
    <w:multiLevelType w:val="hybridMultilevel"/>
    <w:tmpl w:val="1FEC08EA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4202F4"/>
    <w:multiLevelType w:val="hybridMultilevel"/>
    <w:tmpl w:val="C11CD8E2"/>
    <w:lvl w:ilvl="0" w:tplc="87789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F7EDE"/>
    <w:multiLevelType w:val="multilevel"/>
    <w:tmpl w:val="920EC8B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9131027"/>
    <w:multiLevelType w:val="hybridMultilevel"/>
    <w:tmpl w:val="9ABCA472"/>
    <w:lvl w:ilvl="0" w:tplc="0C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2E"/>
    <w:rsid w:val="00031F2E"/>
    <w:rsid w:val="00055C13"/>
    <w:rsid w:val="000809A3"/>
    <w:rsid w:val="0008241E"/>
    <w:rsid w:val="00085927"/>
    <w:rsid w:val="000A410D"/>
    <w:rsid w:val="000B3EC7"/>
    <w:rsid w:val="000D3A93"/>
    <w:rsid w:val="000F084C"/>
    <w:rsid w:val="000F45BF"/>
    <w:rsid w:val="00124974"/>
    <w:rsid w:val="0019762A"/>
    <w:rsid w:val="00197AF8"/>
    <w:rsid w:val="001A3762"/>
    <w:rsid w:val="001B3B8A"/>
    <w:rsid w:val="001C576E"/>
    <w:rsid w:val="001D2D00"/>
    <w:rsid w:val="001E2DB5"/>
    <w:rsid w:val="00217D03"/>
    <w:rsid w:val="00223377"/>
    <w:rsid w:val="00230C1F"/>
    <w:rsid w:val="002623BB"/>
    <w:rsid w:val="00265813"/>
    <w:rsid w:val="0027149C"/>
    <w:rsid w:val="002715B5"/>
    <w:rsid w:val="00271ACD"/>
    <w:rsid w:val="002B27BA"/>
    <w:rsid w:val="002B7E03"/>
    <w:rsid w:val="002D4417"/>
    <w:rsid w:val="00300122"/>
    <w:rsid w:val="0030531F"/>
    <w:rsid w:val="00314145"/>
    <w:rsid w:val="00316A28"/>
    <w:rsid w:val="00370299"/>
    <w:rsid w:val="00376C85"/>
    <w:rsid w:val="00384A27"/>
    <w:rsid w:val="003A489F"/>
    <w:rsid w:val="003B1C4A"/>
    <w:rsid w:val="003B2ECA"/>
    <w:rsid w:val="003E00E7"/>
    <w:rsid w:val="00400240"/>
    <w:rsid w:val="00414B89"/>
    <w:rsid w:val="004151C0"/>
    <w:rsid w:val="00435F73"/>
    <w:rsid w:val="00450595"/>
    <w:rsid w:val="004510FC"/>
    <w:rsid w:val="0047086E"/>
    <w:rsid w:val="004C4B9A"/>
    <w:rsid w:val="004E4486"/>
    <w:rsid w:val="004F4119"/>
    <w:rsid w:val="00517232"/>
    <w:rsid w:val="00520865"/>
    <w:rsid w:val="005250B5"/>
    <w:rsid w:val="00530725"/>
    <w:rsid w:val="005659AA"/>
    <w:rsid w:val="005827AA"/>
    <w:rsid w:val="00587201"/>
    <w:rsid w:val="00587E55"/>
    <w:rsid w:val="005A2F41"/>
    <w:rsid w:val="005A4E45"/>
    <w:rsid w:val="005B2659"/>
    <w:rsid w:val="005B4806"/>
    <w:rsid w:val="005D6818"/>
    <w:rsid w:val="005F11C2"/>
    <w:rsid w:val="00617CE0"/>
    <w:rsid w:val="00625DC8"/>
    <w:rsid w:val="00674812"/>
    <w:rsid w:val="006907FD"/>
    <w:rsid w:val="00693940"/>
    <w:rsid w:val="006A12AA"/>
    <w:rsid w:val="006A6925"/>
    <w:rsid w:val="006A74C7"/>
    <w:rsid w:val="006B2BCD"/>
    <w:rsid w:val="006B35FF"/>
    <w:rsid w:val="006D2BEE"/>
    <w:rsid w:val="006D3155"/>
    <w:rsid w:val="006D3F9A"/>
    <w:rsid w:val="006D758D"/>
    <w:rsid w:val="006E1600"/>
    <w:rsid w:val="006E754C"/>
    <w:rsid w:val="006F0A87"/>
    <w:rsid w:val="00701F53"/>
    <w:rsid w:val="007110CD"/>
    <w:rsid w:val="00724DE7"/>
    <w:rsid w:val="00750B07"/>
    <w:rsid w:val="00762E2E"/>
    <w:rsid w:val="007705EF"/>
    <w:rsid w:val="00781112"/>
    <w:rsid w:val="007910D9"/>
    <w:rsid w:val="00793C6D"/>
    <w:rsid w:val="007A32A2"/>
    <w:rsid w:val="007A77EF"/>
    <w:rsid w:val="007B3B4D"/>
    <w:rsid w:val="007C685C"/>
    <w:rsid w:val="007F52C0"/>
    <w:rsid w:val="00810EEB"/>
    <w:rsid w:val="00816F72"/>
    <w:rsid w:val="00830C74"/>
    <w:rsid w:val="008365EC"/>
    <w:rsid w:val="00875B88"/>
    <w:rsid w:val="00875C45"/>
    <w:rsid w:val="00885FD7"/>
    <w:rsid w:val="008B2F88"/>
    <w:rsid w:val="00911952"/>
    <w:rsid w:val="00947353"/>
    <w:rsid w:val="00961E44"/>
    <w:rsid w:val="0096547A"/>
    <w:rsid w:val="009835FE"/>
    <w:rsid w:val="00985379"/>
    <w:rsid w:val="009B0A09"/>
    <w:rsid w:val="009B295C"/>
    <w:rsid w:val="009C3086"/>
    <w:rsid w:val="009D59C0"/>
    <w:rsid w:val="00A509E5"/>
    <w:rsid w:val="00AC0532"/>
    <w:rsid w:val="00AC3EE9"/>
    <w:rsid w:val="00AD3A32"/>
    <w:rsid w:val="00AE30FC"/>
    <w:rsid w:val="00B212E3"/>
    <w:rsid w:val="00B54051"/>
    <w:rsid w:val="00B57F7A"/>
    <w:rsid w:val="00B604FF"/>
    <w:rsid w:val="00B70ECF"/>
    <w:rsid w:val="00B97952"/>
    <w:rsid w:val="00BA7707"/>
    <w:rsid w:val="00BC2441"/>
    <w:rsid w:val="00BD24CC"/>
    <w:rsid w:val="00BD3F2B"/>
    <w:rsid w:val="00BD5817"/>
    <w:rsid w:val="00BE2B7E"/>
    <w:rsid w:val="00C241F9"/>
    <w:rsid w:val="00C3305C"/>
    <w:rsid w:val="00C46269"/>
    <w:rsid w:val="00C54DCB"/>
    <w:rsid w:val="00C84624"/>
    <w:rsid w:val="00C965A8"/>
    <w:rsid w:val="00CE45A0"/>
    <w:rsid w:val="00CF6FCB"/>
    <w:rsid w:val="00D047B8"/>
    <w:rsid w:val="00D1147E"/>
    <w:rsid w:val="00D274F8"/>
    <w:rsid w:val="00D31CB6"/>
    <w:rsid w:val="00D46173"/>
    <w:rsid w:val="00D571DE"/>
    <w:rsid w:val="00D57DEE"/>
    <w:rsid w:val="00D609F3"/>
    <w:rsid w:val="00D730AD"/>
    <w:rsid w:val="00D8267E"/>
    <w:rsid w:val="00D96522"/>
    <w:rsid w:val="00DA01B2"/>
    <w:rsid w:val="00DC0EAD"/>
    <w:rsid w:val="00DC4508"/>
    <w:rsid w:val="00E05BDF"/>
    <w:rsid w:val="00E1420C"/>
    <w:rsid w:val="00E40AF6"/>
    <w:rsid w:val="00E715F4"/>
    <w:rsid w:val="00E9723E"/>
    <w:rsid w:val="00EB4CFD"/>
    <w:rsid w:val="00ED4259"/>
    <w:rsid w:val="00EF173E"/>
    <w:rsid w:val="00EF4463"/>
    <w:rsid w:val="00EF6C28"/>
    <w:rsid w:val="00EF7701"/>
    <w:rsid w:val="00F55D8D"/>
    <w:rsid w:val="00F571F6"/>
    <w:rsid w:val="00F82C54"/>
    <w:rsid w:val="00F83926"/>
    <w:rsid w:val="00F84147"/>
    <w:rsid w:val="00F90BC1"/>
    <w:rsid w:val="00F93C8B"/>
    <w:rsid w:val="00FD69D1"/>
    <w:rsid w:val="00FF1822"/>
    <w:rsid w:val="00FF5F71"/>
    <w:rsid w:val="00FF7204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DB82CE"/>
  <w15:chartTrackingRefBased/>
  <w15:docId w15:val="{E462912C-296E-4715-887F-612F6193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907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907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907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7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7F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07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07F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87201"/>
    <w:pPr>
      <w:ind w:left="720"/>
      <w:contextualSpacing/>
    </w:pPr>
  </w:style>
  <w:style w:type="character" w:customStyle="1" w:styleId="footnoteholder">
    <w:name w:val="footnoteholder"/>
    <w:basedOn w:val="Absatz-Standardschriftart"/>
    <w:rsid w:val="004510FC"/>
  </w:style>
  <w:style w:type="character" w:customStyle="1" w:styleId="highlighted">
    <w:name w:val="highlighted"/>
    <w:basedOn w:val="Absatz-Standardschriftart"/>
    <w:rsid w:val="00D57DEE"/>
  </w:style>
  <w:style w:type="paragraph" w:styleId="Funotentext">
    <w:name w:val="footnote text"/>
    <w:basedOn w:val="Standard"/>
    <w:link w:val="FunotentextZchn"/>
    <w:uiPriority w:val="99"/>
    <w:semiHidden/>
    <w:unhideWhenUsed/>
    <w:rsid w:val="00D609F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09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609F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82C5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82C5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57F7A"/>
    <w:pPr>
      <w:spacing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271ACD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410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410D"/>
  </w:style>
  <w:style w:type="paragraph" w:styleId="Fuzeile">
    <w:name w:val="footer"/>
    <w:basedOn w:val="Standard"/>
    <w:link w:val="FuzeileZchn"/>
    <w:uiPriority w:val="99"/>
    <w:unhideWhenUsed/>
    <w:rsid w:val="000A410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4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k.at/web_de/statistiken/wirtschaft/preise/verbraucherpreisindex_vpi_hvpi/zeitreihen_und_verkettungen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atistik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90669-624C-4EF3-A2DC-FE6A5E7E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8203</Characters>
  <Application>Microsoft Office Word</Application>
  <DocSecurity>4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Grau</dc:creator>
  <cp:keywords/>
  <dc:description/>
  <cp:lastModifiedBy>Wukowitz Elisabeth, WKÖ BSG</cp:lastModifiedBy>
  <cp:revision>2</cp:revision>
  <dcterms:created xsi:type="dcterms:W3CDTF">2021-07-07T12:51:00Z</dcterms:created>
  <dcterms:modified xsi:type="dcterms:W3CDTF">2021-07-07T12:51:00Z</dcterms:modified>
</cp:coreProperties>
</file>