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C7E3" w14:textId="50E44E57" w:rsidR="00C452C8" w:rsidRPr="00950F9B" w:rsidRDefault="00762E2E" w:rsidP="00950F9B">
      <w:pPr>
        <w:spacing w:after="240"/>
        <w:jc w:val="center"/>
        <w:rPr>
          <w:b/>
        </w:rPr>
      </w:pPr>
      <w:r w:rsidRPr="00950F9B">
        <w:rPr>
          <w:b/>
        </w:rPr>
        <w:t>Preisanpassungsklausel</w:t>
      </w:r>
    </w:p>
    <w:p w14:paraId="3D17366B" w14:textId="7508119F" w:rsidR="00762E2E" w:rsidRDefault="00762E2E" w:rsidP="00950F9B">
      <w:pPr>
        <w:spacing w:after="480"/>
        <w:jc w:val="center"/>
        <w:rPr>
          <w:b/>
        </w:rPr>
      </w:pPr>
      <w:r w:rsidRPr="00950F9B">
        <w:rPr>
          <w:b/>
        </w:rPr>
        <w:t xml:space="preserve">Muster für </w:t>
      </w:r>
      <w:r w:rsidR="0061523B">
        <w:rPr>
          <w:b/>
        </w:rPr>
        <w:t xml:space="preserve">Vertragsbausteine in </w:t>
      </w:r>
      <w:r w:rsidR="002B27BA" w:rsidRPr="00950F9B">
        <w:rPr>
          <w:b/>
        </w:rPr>
        <w:t>Verträge</w:t>
      </w:r>
      <w:r w:rsidR="0061523B">
        <w:rPr>
          <w:b/>
        </w:rPr>
        <w:t>n</w:t>
      </w:r>
      <w:r w:rsidR="002B27BA" w:rsidRPr="00950F9B">
        <w:rPr>
          <w:b/>
        </w:rPr>
        <w:t xml:space="preserve"> zwischen Unternehmern, </w:t>
      </w:r>
      <w:r w:rsidR="009124C0">
        <w:rPr>
          <w:b/>
        </w:rPr>
        <w:br/>
      </w:r>
      <w:r w:rsidR="00886447">
        <w:rPr>
          <w:b/>
        </w:rPr>
        <w:t>(Grundlage sowohl</w:t>
      </w:r>
      <w:r w:rsidR="002B27BA" w:rsidRPr="00950F9B">
        <w:rPr>
          <w:b/>
        </w:rPr>
        <w:t xml:space="preserve"> ÖNORM B 2110</w:t>
      </w:r>
      <w:r w:rsidR="00886447">
        <w:rPr>
          <w:b/>
        </w:rPr>
        <w:t xml:space="preserve"> als auch ABGB)</w:t>
      </w:r>
      <w:r w:rsidR="002B27BA" w:rsidRPr="00950F9B">
        <w:rPr>
          <w:b/>
        </w:rPr>
        <w:t xml:space="preserve"> </w:t>
      </w:r>
      <w:r w:rsidR="00886447" w:rsidRPr="00886447">
        <w:rPr>
          <w:b/>
        </w:rPr>
        <w:t xml:space="preserve"> </w:t>
      </w:r>
      <w:r w:rsidR="00886447">
        <w:rPr>
          <w:b/>
        </w:rPr>
        <w:t>ausgenommen Verträge betreffend Kredit, Leasing und/oder Versicherung</w:t>
      </w:r>
    </w:p>
    <w:p w14:paraId="2D5296CC" w14:textId="044E2F2F" w:rsidR="0061523B" w:rsidRPr="00EF7695" w:rsidRDefault="0061523B" w:rsidP="00EF7695">
      <w:pPr>
        <w:pStyle w:val="Listenabsatz"/>
        <w:numPr>
          <w:ilvl w:val="0"/>
          <w:numId w:val="7"/>
        </w:numPr>
        <w:spacing w:after="240"/>
        <w:ind w:left="357" w:hanging="357"/>
        <w:contextualSpacing w:val="0"/>
        <w:rPr>
          <w:b/>
        </w:rPr>
      </w:pPr>
      <w:r w:rsidRPr="00EF7695">
        <w:rPr>
          <w:b/>
        </w:rPr>
        <w:t xml:space="preserve">Wenn veränderliche Preise </w:t>
      </w:r>
      <w:r w:rsidR="00886447" w:rsidRPr="00EF7695">
        <w:rPr>
          <w:b/>
        </w:rPr>
        <w:t xml:space="preserve">über den Zeitraum der Leistungserbringung </w:t>
      </w:r>
      <w:r w:rsidRPr="00EF7695">
        <w:rPr>
          <w:b/>
        </w:rPr>
        <w:t>vereinbart werden:</w:t>
      </w:r>
    </w:p>
    <w:p w14:paraId="79A90E68" w14:textId="1625F999" w:rsidR="00AA2E0D" w:rsidRPr="00AA2E0D" w:rsidRDefault="00AA2E0D" w:rsidP="00BD3268">
      <w:pPr>
        <w:pStyle w:val="Listenabsatz"/>
        <w:numPr>
          <w:ilvl w:val="0"/>
          <w:numId w:val="5"/>
        </w:numPr>
        <w:spacing w:after="240"/>
        <w:ind w:left="714" w:hanging="357"/>
        <w:rPr>
          <w:b/>
        </w:rPr>
      </w:pPr>
      <w:r>
        <w:rPr>
          <w:b/>
        </w:rPr>
        <w:t>Preisumrechnung nach Gesamtleistung</w:t>
      </w:r>
    </w:p>
    <w:p w14:paraId="3E8F7060" w14:textId="1D047955" w:rsidR="006907FD" w:rsidRDefault="0061523B" w:rsidP="00557BB6">
      <w:pPr>
        <w:spacing w:after="240"/>
        <w:jc w:val="both"/>
        <w:rPr>
          <w:i/>
        </w:rPr>
      </w:pPr>
      <w:r>
        <w:rPr>
          <w:i/>
        </w:rPr>
        <w:t>Die vereinbarten</w:t>
      </w:r>
      <w:r w:rsidR="003538D4">
        <w:rPr>
          <w:i/>
        </w:rPr>
        <w:t xml:space="preserve"> Preise </w:t>
      </w:r>
      <w:r>
        <w:rPr>
          <w:i/>
        </w:rPr>
        <w:t>sind veränderliche Preise</w:t>
      </w:r>
      <w:r w:rsidR="00886447">
        <w:rPr>
          <w:i/>
        </w:rPr>
        <w:t>.</w:t>
      </w:r>
      <w:r w:rsidR="00A21F57">
        <w:rPr>
          <w:i/>
        </w:rPr>
        <w:t xml:space="preserve"> </w:t>
      </w:r>
      <w:r>
        <w:rPr>
          <w:i/>
        </w:rPr>
        <w:t>D</w:t>
      </w:r>
      <w:r w:rsidR="00530725">
        <w:rPr>
          <w:i/>
        </w:rPr>
        <w:t xml:space="preserve">ie Umrechnung </w:t>
      </w:r>
      <w:r w:rsidR="00A21F57">
        <w:rPr>
          <w:i/>
        </w:rPr>
        <w:t xml:space="preserve">der </w:t>
      </w:r>
      <w:r w:rsidR="003538D4">
        <w:rPr>
          <w:i/>
        </w:rPr>
        <w:t xml:space="preserve">Preise </w:t>
      </w:r>
      <w:r>
        <w:rPr>
          <w:i/>
        </w:rPr>
        <w:t xml:space="preserve">erfolgt </w:t>
      </w:r>
      <w:r w:rsidR="00D63723">
        <w:rPr>
          <w:i/>
        </w:rPr>
        <w:t>gemäß</w:t>
      </w:r>
      <w:r w:rsidR="003538D4">
        <w:rPr>
          <w:i/>
        </w:rPr>
        <w:t xml:space="preserve"> ÖNORM B</w:t>
      </w:r>
      <w:r w:rsidR="003538D4">
        <w:t> </w:t>
      </w:r>
      <w:r w:rsidR="00530725">
        <w:rPr>
          <w:i/>
        </w:rPr>
        <w:t>2111</w:t>
      </w:r>
      <w:r w:rsidR="00886447" w:rsidRPr="00AA2E0D">
        <w:rPr>
          <w:i/>
        </w:rPr>
        <w:t xml:space="preserve"> idF vom 1. Mai 2007</w:t>
      </w:r>
      <w:r w:rsidR="00433DD1" w:rsidRPr="00433DD1">
        <w:rPr>
          <w:i/>
        </w:rPr>
        <w:t xml:space="preserve"> </w:t>
      </w:r>
      <w:r w:rsidR="00433DD1" w:rsidRPr="00D63723">
        <w:rPr>
          <w:i/>
        </w:rPr>
        <w:t>nach Preisanteilen Lohn und Sonstiges getrennt</w:t>
      </w:r>
      <w:r w:rsidR="006907FD">
        <w:rPr>
          <w:i/>
        </w:rPr>
        <w:t>.</w:t>
      </w:r>
      <w:r w:rsidR="00557BB6" w:rsidRPr="00557BB6">
        <w:t xml:space="preserve"> </w:t>
      </w:r>
      <w:r w:rsidR="00557BB6" w:rsidRPr="00557BB6">
        <w:rPr>
          <w:i/>
        </w:rPr>
        <w:t>Als Preisumrechnungsgrundlage sind die Baukostenveränderungen für Hochbau des BMDW, Index „Baugewerbe u</w:t>
      </w:r>
      <w:r w:rsidR="00557BB6">
        <w:rPr>
          <w:i/>
        </w:rPr>
        <w:t xml:space="preserve">nd Bauindustrie“ heranzuziehen. </w:t>
      </w:r>
      <w:r w:rsidR="00557BB6" w:rsidRPr="00557BB6">
        <w:rPr>
          <w:i/>
        </w:rPr>
        <w:t>Preisbasis ist das Ende der Angebotsfrist.</w:t>
      </w:r>
    </w:p>
    <w:p w14:paraId="5E413155" w14:textId="32FD53EA" w:rsidR="00AA2E0D" w:rsidRPr="00AA2E0D" w:rsidRDefault="00AA2E0D" w:rsidP="00BD3268">
      <w:pPr>
        <w:pStyle w:val="Listenabsatz"/>
        <w:numPr>
          <w:ilvl w:val="0"/>
          <w:numId w:val="5"/>
        </w:numPr>
        <w:spacing w:after="240"/>
        <w:ind w:left="714" w:hanging="357"/>
        <w:rPr>
          <w:b/>
        </w:rPr>
      </w:pPr>
      <w:r>
        <w:rPr>
          <w:b/>
        </w:rPr>
        <w:t>Preisumrechnung getrennt nach Leistungsteilen</w:t>
      </w:r>
    </w:p>
    <w:p w14:paraId="63461039" w14:textId="78CF72F8" w:rsidR="00433DD1" w:rsidRDefault="0061523B" w:rsidP="00AA2E0D">
      <w:pPr>
        <w:spacing w:after="240"/>
        <w:jc w:val="both"/>
        <w:rPr>
          <w:i/>
        </w:rPr>
      </w:pPr>
      <w:r>
        <w:rPr>
          <w:i/>
        </w:rPr>
        <w:t>Die vereinbarten Preise s</w:t>
      </w:r>
      <w:r w:rsidR="00433DD1" w:rsidRPr="006E322C">
        <w:rPr>
          <w:i/>
        </w:rPr>
        <w:t>ind veränderliche Preise</w:t>
      </w:r>
      <w:r>
        <w:rPr>
          <w:i/>
        </w:rPr>
        <w:t>.</w:t>
      </w:r>
      <w:r w:rsidR="00433DD1" w:rsidRPr="006E322C">
        <w:rPr>
          <w:i/>
        </w:rPr>
        <w:t xml:space="preserve"> </w:t>
      </w:r>
      <w:r>
        <w:rPr>
          <w:i/>
        </w:rPr>
        <w:t>D</w:t>
      </w:r>
      <w:r w:rsidR="00433DD1">
        <w:rPr>
          <w:i/>
        </w:rPr>
        <w:t xml:space="preserve">ie Umrechnung </w:t>
      </w:r>
      <w:r w:rsidR="00A21F57">
        <w:rPr>
          <w:i/>
        </w:rPr>
        <w:t xml:space="preserve">der </w:t>
      </w:r>
      <w:r w:rsidR="00433DD1">
        <w:rPr>
          <w:i/>
        </w:rPr>
        <w:t xml:space="preserve">Preise </w:t>
      </w:r>
      <w:r>
        <w:rPr>
          <w:i/>
        </w:rPr>
        <w:t xml:space="preserve">erfolgt </w:t>
      </w:r>
      <w:r w:rsidR="00433DD1">
        <w:rPr>
          <w:i/>
        </w:rPr>
        <w:t>gemäß ÖNORM B </w:t>
      </w:r>
      <w:r w:rsidR="00433DD1" w:rsidRPr="006E322C">
        <w:rPr>
          <w:i/>
        </w:rPr>
        <w:t>2111</w:t>
      </w:r>
      <w:r w:rsidR="00433DD1">
        <w:rPr>
          <w:i/>
        </w:rPr>
        <w:t>,</w:t>
      </w:r>
      <w:r w:rsidR="00433DD1" w:rsidRPr="00433DD1">
        <w:rPr>
          <w:i/>
        </w:rPr>
        <w:t xml:space="preserve"> </w:t>
      </w:r>
      <w:r w:rsidR="00433DD1" w:rsidRPr="00D63723">
        <w:rPr>
          <w:i/>
        </w:rPr>
        <w:t>nach Preisanteilen Lohn und Sonstiges getrennt</w:t>
      </w:r>
      <w:r w:rsidR="00433DD1" w:rsidRPr="006E322C">
        <w:rPr>
          <w:i/>
        </w:rPr>
        <w:t xml:space="preserve">. Für den Preisanteil Sonstiges werden </w:t>
      </w:r>
      <w:r w:rsidR="00433DD1">
        <w:rPr>
          <w:i/>
        </w:rPr>
        <w:t xml:space="preserve">überdies </w:t>
      </w:r>
      <w:r w:rsidR="00433DD1" w:rsidRPr="006E322C">
        <w:rPr>
          <w:i/>
        </w:rPr>
        <w:t xml:space="preserve">die Preise der Leistungsgruppen gemäß LV getrennt umgerechnet. Als Preisumrechnungsgrundlage gelten die zugeordneten Sub-Indizes (Preisanteil Sonstiges) des Baukostenindex </w:t>
      </w:r>
      <w:r w:rsidR="00433DD1" w:rsidRPr="00AA2E0D">
        <w:rPr>
          <w:i/>
        </w:rPr>
        <w:t>[für den Brückenbau</w:t>
      </w:r>
      <w:bookmarkStart w:id="0" w:name="_Ref74425218"/>
      <w:r w:rsidR="00A21F57" w:rsidRPr="00BD3268">
        <w:rPr>
          <w:rStyle w:val="Funotenzeichen"/>
          <w:i/>
          <w:highlight w:val="lightGray"/>
        </w:rPr>
        <w:footnoteReference w:id="1"/>
      </w:r>
      <w:bookmarkEnd w:id="0"/>
      <w:r w:rsidR="00433DD1" w:rsidRPr="00AA2E0D">
        <w:rPr>
          <w:i/>
        </w:rPr>
        <w:t>]</w:t>
      </w:r>
      <w:r w:rsidR="00EF7695">
        <w:rPr>
          <w:i/>
        </w:rPr>
        <w:t xml:space="preserve"> der Statistik Austria</w:t>
      </w:r>
      <w:r w:rsidR="00433DD1">
        <w:rPr>
          <w:i/>
        </w:rPr>
        <w:t xml:space="preserve">, </w:t>
      </w:r>
      <w:r w:rsidR="00433DD1" w:rsidRPr="006E322C">
        <w:rPr>
          <w:i/>
        </w:rPr>
        <w:t>Basis 2020</w:t>
      </w:r>
      <w:r w:rsidR="00EF7695">
        <w:rPr>
          <w:i/>
        </w:rPr>
        <w:t>=100</w:t>
      </w:r>
      <w:r w:rsidR="00433DD1">
        <w:rPr>
          <w:i/>
        </w:rPr>
        <w:t xml:space="preserve">. </w:t>
      </w:r>
      <w:r w:rsidR="00433DD1" w:rsidRPr="006E322C">
        <w:rPr>
          <w:i/>
        </w:rPr>
        <w:t xml:space="preserve">Preisumrechnungsgrundlage für den Preisanteil Lohn ist der Gesamtlohnindex des Baukostenindex </w:t>
      </w:r>
      <w:r w:rsidR="00433DD1" w:rsidRPr="00AA2E0D">
        <w:rPr>
          <w:i/>
        </w:rPr>
        <w:t>[für den Brückenbau</w:t>
      </w:r>
      <w:r w:rsidR="00A21F57" w:rsidRPr="00AA2E0D">
        <w:t xml:space="preserve"> </w:t>
      </w:r>
      <w:r w:rsidR="00A21F57" w:rsidRPr="00F54E86">
        <w:rPr>
          <w:rStyle w:val="Funotenzeichen"/>
          <w:i/>
          <w:highlight w:val="lightGray"/>
        </w:rPr>
        <w:footnoteReference w:id="2"/>
      </w:r>
      <w:r w:rsidR="00433DD1" w:rsidRPr="00AA2E0D">
        <w:rPr>
          <w:i/>
        </w:rPr>
        <w:t>]</w:t>
      </w:r>
      <w:r w:rsidR="00EF7695">
        <w:rPr>
          <w:i/>
        </w:rPr>
        <w:t xml:space="preserve"> der Statistik Austria</w:t>
      </w:r>
      <w:r w:rsidR="00433DD1">
        <w:rPr>
          <w:i/>
        </w:rPr>
        <w:t xml:space="preserve">, </w:t>
      </w:r>
      <w:r w:rsidR="00433DD1" w:rsidRPr="006E322C">
        <w:rPr>
          <w:i/>
        </w:rPr>
        <w:t>Basis 2020</w:t>
      </w:r>
      <w:r w:rsidR="0008096F">
        <w:rPr>
          <w:i/>
        </w:rPr>
        <w:t>=100</w:t>
      </w:r>
      <w:r w:rsidR="00433DD1" w:rsidRPr="006E322C">
        <w:rPr>
          <w:i/>
        </w:rPr>
        <w:t>.</w:t>
      </w:r>
      <w:r w:rsidR="00433DD1">
        <w:rPr>
          <w:i/>
        </w:rPr>
        <w:t xml:space="preserve"> </w:t>
      </w:r>
      <w:r w:rsidR="00433DD1" w:rsidRPr="006E322C">
        <w:rPr>
          <w:i/>
        </w:rPr>
        <w:t>Preisbasis ist das Ende der Angebotsfrist.</w:t>
      </w:r>
    </w:p>
    <w:p w14:paraId="5F49AA44" w14:textId="625CB43D" w:rsidR="0061523B" w:rsidRPr="00950F9B" w:rsidRDefault="0061523B" w:rsidP="00EF7695">
      <w:pPr>
        <w:pStyle w:val="Listenabsatz"/>
        <w:numPr>
          <w:ilvl w:val="0"/>
          <w:numId w:val="7"/>
        </w:numPr>
        <w:spacing w:after="240"/>
        <w:ind w:left="357" w:hanging="357"/>
        <w:contextualSpacing w:val="0"/>
        <w:rPr>
          <w:b/>
        </w:rPr>
      </w:pPr>
      <w:r>
        <w:rPr>
          <w:b/>
        </w:rPr>
        <w:t xml:space="preserve">Wenn Festpreise vereinbart werden: </w:t>
      </w:r>
    </w:p>
    <w:p w14:paraId="145ACD9C" w14:textId="48FE89C2" w:rsidR="002D4417" w:rsidRDefault="0061523B" w:rsidP="00950F9B">
      <w:pPr>
        <w:spacing w:after="240"/>
        <w:jc w:val="both"/>
        <w:rPr>
          <w:i/>
        </w:rPr>
      </w:pPr>
      <w:r>
        <w:rPr>
          <w:i/>
        </w:rPr>
        <w:t>Die vereinbarten Preise sind</w:t>
      </w:r>
      <w:r w:rsidR="002D4417">
        <w:rPr>
          <w:i/>
        </w:rPr>
        <w:t xml:space="preserve"> </w:t>
      </w:r>
      <w:r w:rsidR="00A21F57">
        <w:rPr>
          <w:i/>
        </w:rPr>
        <w:t>Festpreise</w:t>
      </w:r>
      <w:r>
        <w:rPr>
          <w:i/>
        </w:rPr>
        <w:t>.</w:t>
      </w:r>
      <w:r w:rsidR="00A21F57">
        <w:rPr>
          <w:i/>
        </w:rPr>
        <w:t xml:space="preserve"> </w:t>
      </w:r>
      <w:r>
        <w:rPr>
          <w:i/>
        </w:rPr>
        <w:t>D</w:t>
      </w:r>
      <w:r w:rsidR="00A21F57">
        <w:rPr>
          <w:i/>
        </w:rPr>
        <w:t xml:space="preserve">ennoch </w:t>
      </w:r>
      <w:r>
        <w:rPr>
          <w:i/>
        </w:rPr>
        <w:t xml:space="preserve">hat </w:t>
      </w:r>
      <w:r w:rsidR="00A21F57" w:rsidRPr="000B020E">
        <w:rPr>
          <w:rFonts w:cs="Arial"/>
          <w:i/>
          <w:highlight w:val="lightGray"/>
        </w:rPr>
        <w:t>[</w:t>
      </w:r>
      <w:r w:rsidR="00A21F57" w:rsidRPr="000B020E">
        <w:rPr>
          <w:i/>
          <w:highlight w:val="lightGray"/>
        </w:rPr>
        <w:t>j</w:t>
      </w:r>
      <w:r w:rsidR="00692760" w:rsidRPr="000B020E">
        <w:rPr>
          <w:i/>
          <w:highlight w:val="lightGray"/>
        </w:rPr>
        <w:t>ede Seite</w:t>
      </w:r>
      <w:r w:rsidR="00A21F57" w:rsidRPr="000B020E">
        <w:rPr>
          <w:rStyle w:val="Funotenzeichen"/>
          <w:i/>
          <w:highlight w:val="lightGray"/>
        </w:rPr>
        <w:footnoteReference w:id="3"/>
      </w:r>
      <w:r w:rsidR="00A21F57" w:rsidRPr="000B020E">
        <w:rPr>
          <w:rFonts w:cs="Arial"/>
          <w:i/>
          <w:highlight w:val="lightGray"/>
        </w:rPr>
        <w:t>]</w:t>
      </w:r>
      <w:r w:rsidR="00692760">
        <w:rPr>
          <w:i/>
        </w:rPr>
        <w:t xml:space="preserve"> </w:t>
      </w:r>
      <w:r w:rsidR="0019762A">
        <w:rPr>
          <w:i/>
        </w:rPr>
        <w:t>das Recht</w:t>
      </w:r>
      <w:r w:rsidR="00BD3268">
        <w:rPr>
          <w:i/>
        </w:rPr>
        <w:t>,</w:t>
      </w:r>
      <w:r>
        <w:rPr>
          <w:i/>
        </w:rPr>
        <w:t xml:space="preserve"> in folgendem Fall</w:t>
      </w:r>
      <w:r w:rsidR="0019762A">
        <w:rPr>
          <w:i/>
        </w:rPr>
        <w:t xml:space="preserve"> </w:t>
      </w:r>
      <w:r w:rsidR="006907FD">
        <w:rPr>
          <w:i/>
        </w:rPr>
        <w:t>nach veränderlichen Preisen abzurechnen</w:t>
      </w:r>
      <w:r>
        <w:rPr>
          <w:i/>
        </w:rPr>
        <w:t>:</w:t>
      </w:r>
      <w:r w:rsidR="006907FD">
        <w:rPr>
          <w:i/>
        </w:rPr>
        <w:t xml:space="preserve"> </w:t>
      </w:r>
      <w:r>
        <w:rPr>
          <w:i/>
        </w:rPr>
        <w:t xml:space="preserve">Hat sich der Preisanteil Sonstiges der Baukostenveränderungen für Hochbau des BMDW, Index „Baugewerbe und Bauindustrie“ seit Ende der Angebotsfrist um </w:t>
      </w:r>
      <w:r w:rsidR="00AA2E0D">
        <w:rPr>
          <w:i/>
        </w:rPr>
        <w:t xml:space="preserve">mindestens </w:t>
      </w:r>
      <w:r w:rsidRPr="00A21F57">
        <w:rPr>
          <w:rFonts w:cs="Arial"/>
          <w:i/>
          <w:highlight w:val="lightGray"/>
        </w:rPr>
        <w:t>[●</w:t>
      </w:r>
      <w:r w:rsidRPr="00A21F57">
        <w:rPr>
          <w:rStyle w:val="Funotenzeichen"/>
          <w:rFonts w:cs="Arial"/>
          <w:i/>
          <w:highlight w:val="lightGray"/>
        </w:rPr>
        <w:footnoteReference w:id="4"/>
      </w:r>
      <w:r w:rsidRPr="00A21F57">
        <w:rPr>
          <w:rFonts w:cs="Arial"/>
          <w:i/>
          <w:highlight w:val="lightGray"/>
        </w:rPr>
        <w:t>]</w:t>
      </w:r>
      <w:r>
        <w:rPr>
          <w:i/>
        </w:rPr>
        <w:t> % verändert, werden alle Leistungen</w:t>
      </w:r>
      <w:r w:rsidR="0008096F">
        <w:rPr>
          <w:i/>
        </w:rPr>
        <w:t xml:space="preserve"> (Preisanteil Sonstiges)</w:t>
      </w:r>
      <w:r>
        <w:rPr>
          <w:i/>
        </w:rPr>
        <w:t xml:space="preserve">, die ab diesem Zeitpunkt erbracht werden, gemäß </w:t>
      </w:r>
      <w:r w:rsidR="003538D4">
        <w:rPr>
          <w:i/>
        </w:rPr>
        <w:t>ÖNORM B</w:t>
      </w:r>
      <w:r w:rsidR="003538D4">
        <w:t> </w:t>
      </w:r>
      <w:r w:rsidR="006907FD">
        <w:rPr>
          <w:i/>
        </w:rPr>
        <w:t>2111</w:t>
      </w:r>
      <w:r w:rsidR="00AA2E0D" w:rsidRPr="00AA2E0D">
        <w:rPr>
          <w:i/>
        </w:rPr>
        <w:t xml:space="preserve"> idF vom 1. Mai 2007</w:t>
      </w:r>
      <w:r w:rsidR="006907FD">
        <w:rPr>
          <w:i/>
        </w:rPr>
        <w:t xml:space="preserve"> </w:t>
      </w:r>
      <w:r>
        <w:rPr>
          <w:i/>
        </w:rPr>
        <w:t>abgerechnet.</w:t>
      </w:r>
    </w:p>
    <w:p w14:paraId="56FE36FA" w14:textId="0F64ACB3" w:rsidR="00EF7695" w:rsidRPr="008C0B8E" w:rsidRDefault="00D211EF" w:rsidP="008C0B8E">
      <w:pPr>
        <w:pStyle w:val="Listenabsatz"/>
        <w:keepNext/>
        <w:numPr>
          <w:ilvl w:val="0"/>
          <w:numId w:val="7"/>
        </w:numPr>
        <w:spacing w:after="240"/>
        <w:ind w:left="357" w:hanging="357"/>
        <w:contextualSpacing w:val="0"/>
        <w:rPr>
          <w:b/>
        </w:rPr>
      </w:pPr>
      <w:r w:rsidRPr="008C0B8E">
        <w:rPr>
          <w:b/>
        </w:rPr>
        <w:lastRenderedPageBreak/>
        <w:t xml:space="preserve">Bloße </w:t>
      </w:r>
      <w:r w:rsidR="00EF7695" w:rsidRPr="008C0B8E">
        <w:rPr>
          <w:b/>
        </w:rPr>
        <w:t xml:space="preserve">Wertsicherung eines Angebotspreises: </w:t>
      </w:r>
    </w:p>
    <w:p w14:paraId="551BDEA5" w14:textId="4CC8709E" w:rsidR="00713109" w:rsidRPr="00AA2E0D" w:rsidRDefault="00713109" w:rsidP="00BD3268">
      <w:pPr>
        <w:pStyle w:val="Listenabsatz"/>
        <w:keepNext/>
        <w:numPr>
          <w:ilvl w:val="0"/>
          <w:numId w:val="11"/>
        </w:numPr>
        <w:spacing w:after="240"/>
        <w:rPr>
          <w:b/>
        </w:rPr>
      </w:pPr>
      <w:r>
        <w:rPr>
          <w:b/>
        </w:rPr>
        <w:t>Wertsicherung der Gesamtleistung</w:t>
      </w:r>
    </w:p>
    <w:p w14:paraId="58BB271F" w14:textId="77777777" w:rsidR="00EF7695" w:rsidRDefault="00EF7695" w:rsidP="00EF7695">
      <w:pPr>
        <w:spacing w:after="240"/>
        <w:jc w:val="both"/>
        <w:rPr>
          <w:i/>
        </w:rPr>
      </w:pPr>
      <w:r>
        <w:rPr>
          <w:i/>
        </w:rPr>
        <w:t xml:space="preserve">Die vereinbarten Preise sind nach dem </w:t>
      </w:r>
      <w:r w:rsidRPr="00160B15">
        <w:rPr>
          <w:i/>
          <w:highlight w:val="lightGray"/>
        </w:rPr>
        <w:t xml:space="preserve">[von </w:t>
      </w:r>
      <w:r w:rsidRPr="00160B15">
        <w:rPr>
          <w:rFonts w:cs="Arial"/>
          <w:i/>
          <w:highlight w:val="lightGray"/>
        </w:rPr>
        <w:t>●</w:t>
      </w:r>
      <w:r w:rsidRPr="00160B15">
        <w:rPr>
          <w:i/>
          <w:highlight w:val="lightGray"/>
        </w:rPr>
        <w:t xml:space="preserve"> veröffentlichen</w:t>
      </w:r>
      <w:bookmarkStart w:id="1" w:name="_Ref75450023"/>
      <w:r w:rsidRPr="00160B15">
        <w:rPr>
          <w:rStyle w:val="Funotenzeichen"/>
          <w:rFonts w:cs="Arial"/>
          <w:i/>
          <w:highlight w:val="lightGray"/>
        </w:rPr>
        <w:footnoteReference w:id="5"/>
      </w:r>
      <w:bookmarkEnd w:id="1"/>
      <w:r w:rsidRPr="00160B15">
        <w:rPr>
          <w:rFonts w:cs="Arial"/>
          <w:i/>
          <w:highlight w:val="lightGray"/>
        </w:rPr>
        <w:t>]</w:t>
      </w:r>
      <w:r>
        <w:rPr>
          <w:i/>
        </w:rPr>
        <w:t xml:space="preserve"> </w:t>
      </w:r>
      <w:r w:rsidRPr="00517232">
        <w:rPr>
          <w:i/>
          <w:highlight w:val="lightGray"/>
        </w:rPr>
        <w:t>[</w:t>
      </w:r>
      <w:r w:rsidRPr="00517232">
        <w:rPr>
          <w:rFonts w:cs="Arial"/>
          <w:i/>
          <w:highlight w:val="lightGray"/>
        </w:rPr>
        <w:t>●</w:t>
      </w:r>
      <w:bookmarkStart w:id="2" w:name="_Ref75451712"/>
      <w:r w:rsidRPr="00517232">
        <w:rPr>
          <w:rStyle w:val="Funotenzeichen"/>
          <w:rFonts w:cs="Arial"/>
          <w:i/>
          <w:highlight w:val="lightGray"/>
        </w:rPr>
        <w:footnoteReference w:id="6"/>
      </w:r>
      <w:bookmarkEnd w:id="2"/>
      <w:r w:rsidRPr="00517232">
        <w:rPr>
          <w:rFonts w:cs="Arial"/>
          <w:i/>
          <w:highlight w:val="lightGray"/>
        </w:rPr>
        <w:t>]</w:t>
      </w:r>
      <w:r>
        <w:rPr>
          <w:rFonts w:cs="Arial"/>
          <w:i/>
        </w:rPr>
        <w:t xml:space="preserve"> </w:t>
      </w:r>
      <w:r w:rsidRPr="00634162">
        <w:rPr>
          <w:i/>
          <w:highlight w:val="lightGray"/>
        </w:rPr>
        <w:t>[</w:t>
      </w:r>
      <w:r w:rsidRPr="00634162">
        <w:rPr>
          <w:rFonts w:cs="Arial"/>
          <w:i/>
          <w:highlight w:val="lightGray"/>
        </w:rPr>
        <w:t>(abrufbar unter ●)</w:t>
      </w:r>
      <w:bookmarkStart w:id="3" w:name="_Ref75451725"/>
      <w:r w:rsidRPr="00634162">
        <w:rPr>
          <w:rStyle w:val="Funotenzeichen"/>
          <w:rFonts w:cs="Arial"/>
          <w:i/>
          <w:highlight w:val="lightGray"/>
        </w:rPr>
        <w:footnoteReference w:id="7"/>
      </w:r>
      <w:bookmarkEnd w:id="3"/>
      <w:r w:rsidRPr="00634162">
        <w:rPr>
          <w:rFonts w:cs="Arial"/>
          <w:i/>
          <w:highlight w:val="lightGray"/>
        </w:rPr>
        <w:t>]</w:t>
      </w:r>
      <w:r>
        <w:rPr>
          <w:i/>
        </w:rPr>
        <w:t xml:space="preserve"> wertgesichert. Sie </w:t>
      </w:r>
      <w:r w:rsidRPr="00587201">
        <w:rPr>
          <w:i/>
        </w:rPr>
        <w:t>erhöhen oder vermindern sich</w:t>
      </w:r>
      <w:r w:rsidRPr="0030340F">
        <w:rPr>
          <w:i/>
        </w:rPr>
        <w:t xml:space="preserve"> </w:t>
      </w:r>
      <w:r w:rsidRPr="00587201">
        <w:rPr>
          <w:i/>
        </w:rPr>
        <w:t xml:space="preserve">in jenem Ausmaß, welcher der </w:t>
      </w:r>
      <w:r>
        <w:rPr>
          <w:i/>
        </w:rPr>
        <w:t>V</w:t>
      </w:r>
      <w:r w:rsidRPr="00587201">
        <w:rPr>
          <w:i/>
        </w:rPr>
        <w:t xml:space="preserve">eränderung </w:t>
      </w:r>
      <w:r>
        <w:rPr>
          <w:i/>
        </w:rPr>
        <w:t xml:space="preserve">des Index vom Zeitpunkt des </w:t>
      </w:r>
      <w:r w:rsidRPr="00587201">
        <w:rPr>
          <w:i/>
        </w:rPr>
        <w:t>Vertragsabschluss</w:t>
      </w:r>
      <w:r>
        <w:rPr>
          <w:i/>
        </w:rPr>
        <w:t>es</w:t>
      </w:r>
      <w:r w:rsidRPr="00587201">
        <w:rPr>
          <w:i/>
        </w:rPr>
        <w:t xml:space="preserve"> </w:t>
      </w:r>
      <w:r w:rsidRPr="00AC0532">
        <w:rPr>
          <w:i/>
          <w:iCs/>
        </w:rPr>
        <w:t xml:space="preserve">bis zu </w:t>
      </w:r>
      <w:r>
        <w:rPr>
          <w:i/>
          <w:iCs/>
        </w:rPr>
        <w:t>jenem</w:t>
      </w:r>
      <w:r w:rsidRPr="00AC0532">
        <w:rPr>
          <w:i/>
          <w:iCs/>
        </w:rPr>
        <w:t xml:space="preserve"> Zeitpunkt</w:t>
      </w:r>
      <w:r>
        <w:rPr>
          <w:i/>
          <w:iCs/>
        </w:rPr>
        <w:t xml:space="preserve">, zu dem </w:t>
      </w:r>
      <w:r w:rsidRPr="00AC0532">
        <w:rPr>
          <w:i/>
          <w:iCs/>
        </w:rPr>
        <w:t xml:space="preserve">die Leistung </w:t>
      </w:r>
      <w:r>
        <w:rPr>
          <w:i/>
          <w:iCs/>
        </w:rPr>
        <w:t xml:space="preserve">frühestens </w:t>
      </w:r>
      <w:r w:rsidRPr="00AC0532">
        <w:rPr>
          <w:i/>
          <w:iCs/>
        </w:rPr>
        <w:t>abgerechnet werden darf</w:t>
      </w:r>
      <w:r>
        <w:rPr>
          <w:i/>
          <w:iCs/>
        </w:rPr>
        <w:t>, entspricht</w:t>
      </w:r>
      <w:r w:rsidRPr="00587201">
        <w:rPr>
          <w:i/>
        </w:rPr>
        <w:t>.</w:t>
      </w:r>
      <w:r>
        <w:rPr>
          <w:i/>
        </w:rPr>
        <w:t xml:space="preserve"> Die derart angepassten Preise sind kaufmännisch auf ganze Cent-Beträge (auf- oder ab-) zu runden.</w:t>
      </w:r>
    </w:p>
    <w:p w14:paraId="2232DA25" w14:textId="63B6C604" w:rsidR="00713109" w:rsidRPr="00AA2E0D" w:rsidRDefault="00713109" w:rsidP="008074FB">
      <w:pPr>
        <w:pStyle w:val="Listenabsatz"/>
        <w:keepNext/>
        <w:numPr>
          <w:ilvl w:val="0"/>
          <w:numId w:val="11"/>
        </w:numPr>
        <w:spacing w:after="240"/>
        <w:ind w:left="714" w:hanging="357"/>
        <w:rPr>
          <w:b/>
        </w:rPr>
      </w:pPr>
      <w:r>
        <w:rPr>
          <w:b/>
        </w:rPr>
        <w:t>Wertsicherung einzelner Leistungsanteile</w:t>
      </w:r>
      <w:r w:rsidR="00901C2F">
        <w:rPr>
          <w:b/>
        </w:rPr>
        <w:t xml:space="preserve"> bzw. Materialanteile</w:t>
      </w:r>
    </w:p>
    <w:p w14:paraId="7B108172" w14:textId="77777777" w:rsidR="00EF7695" w:rsidRDefault="00EF7695" w:rsidP="00EF7695">
      <w:pPr>
        <w:spacing w:after="240"/>
        <w:jc w:val="both"/>
        <w:rPr>
          <w:i/>
        </w:rPr>
      </w:pPr>
      <w:r>
        <w:rPr>
          <w:i/>
        </w:rPr>
        <w:t xml:space="preserve">Die vereinbarten Preise sind mit einem Anteil von </w:t>
      </w:r>
      <w:r w:rsidRPr="00517232">
        <w:rPr>
          <w:i/>
          <w:highlight w:val="lightGray"/>
        </w:rPr>
        <w:t>[</w:t>
      </w:r>
      <w:r w:rsidRPr="00517232">
        <w:rPr>
          <w:rFonts w:cs="Arial"/>
          <w:i/>
          <w:highlight w:val="lightGray"/>
        </w:rPr>
        <w:t>●</w:t>
      </w:r>
      <w:bookmarkStart w:id="4" w:name="_Ref75451742"/>
      <w:r w:rsidRPr="00517232">
        <w:rPr>
          <w:rStyle w:val="Funotenzeichen"/>
          <w:rFonts w:cs="Arial"/>
          <w:i/>
          <w:highlight w:val="lightGray"/>
        </w:rPr>
        <w:footnoteReference w:id="8"/>
      </w:r>
      <w:bookmarkEnd w:id="4"/>
      <w:r w:rsidRPr="00517232">
        <w:rPr>
          <w:rFonts w:cs="Arial"/>
          <w:i/>
          <w:highlight w:val="lightGray"/>
        </w:rPr>
        <w:t>]</w:t>
      </w:r>
      <w:r w:rsidRPr="009D59C0">
        <w:rPr>
          <w:rFonts w:cs="Arial"/>
          <w:i/>
        </w:rPr>
        <w:t> </w:t>
      </w:r>
      <w:r>
        <w:rPr>
          <w:rFonts w:cs="Arial"/>
          <w:i/>
        </w:rPr>
        <w:t>%</w:t>
      </w:r>
      <w:r>
        <w:rPr>
          <w:i/>
        </w:rPr>
        <w:t xml:space="preserve"> nach dem </w:t>
      </w:r>
      <w:r w:rsidRPr="00160B15">
        <w:rPr>
          <w:i/>
          <w:highlight w:val="lightGray"/>
        </w:rPr>
        <w:t xml:space="preserve">[von </w:t>
      </w:r>
      <w:r w:rsidRPr="00160B15">
        <w:rPr>
          <w:rFonts w:cs="Arial"/>
          <w:i/>
          <w:highlight w:val="lightGray"/>
        </w:rPr>
        <w:t>●</w:t>
      </w:r>
      <w:r w:rsidRPr="00160B15">
        <w:rPr>
          <w:i/>
          <w:highlight w:val="lightGray"/>
        </w:rPr>
        <w:t xml:space="preserve"> veröffentlichen</w:t>
      </w:r>
      <w:r w:rsidRPr="00160B15">
        <w:rPr>
          <w:rStyle w:val="Funotenzeichen"/>
          <w:rFonts w:cs="Arial"/>
          <w:i/>
          <w:highlight w:val="lightGray"/>
        </w:rPr>
        <w:footnoteReference w:id="9"/>
      </w:r>
      <w:r w:rsidRPr="00160B15">
        <w:rPr>
          <w:rFonts w:cs="Arial"/>
          <w:i/>
          <w:highlight w:val="lightGray"/>
        </w:rPr>
        <w:t>]</w:t>
      </w:r>
      <w:r>
        <w:rPr>
          <w:i/>
        </w:rPr>
        <w:t xml:space="preserve"> </w:t>
      </w:r>
      <w:r w:rsidRPr="00517232">
        <w:rPr>
          <w:i/>
          <w:highlight w:val="lightGray"/>
        </w:rPr>
        <w:t>[</w:t>
      </w:r>
      <w:r w:rsidRPr="00517232">
        <w:rPr>
          <w:rFonts w:cs="Arial"/>
          <w:i/>
          <w:highlight w:val="lightGray"/>
        </w:rPr>
        <w:t>●</w:t>
      </w:r>
      <w:r w:rsidRPr="00517232">
        <w:rPr>
          <w:rStyle w:val="Funotenzeichen"/>
          <w:rFonts w:cs="Arial"/>
          <w:i/>
          <w:highlight w:val="lightGray"/>
        </w:rPr>
        <w:footnoteReference w:id="10"/>
      </w:r>
      <w:r w:rsidRPr="00517232">
        <w:rPr>
          <w:rFonts w:cs="Arial"/>
          <w:i/>
          <w:highlight w:val="lightGray"/>
        </w:rPr>
        <w:t>]</w:t>
      </w:r>
      <w:r>
        <w:rPr>
          <w:rFonts w:cs="Arial"/>
          <w:i/>
        </w:rPr>
        <w:t xml:space="preserve"> </w:t>
      </w:r>
      <w:r w:rsidRPr="00634162">
        <w:rPr>
          <w:i/>
          <w:highlight w:val="lightGray"/>
        </w:rPr>
        <w:t>[</w:t>
      </w:r>
      <w:r w:rsidRPr="00634162">
        <w:rPr>
          <w:rFonts w:cs="Arial"/>
          <w:i/>
          <w:highlight w:val="lightGray"/>
        </w:rPr>
        <w:t>(abrufbar unter ●)</w:t>
      </w:r>
      <w:r w:rsidRPr="00634162">
        <w:rPr>
          <w:rStyle w:val="Funotenzeichen"/>
          <w:rFonts w:cs="Arial"/>
          <w:i/>
          <w:highlight w:val="lightGray"/>
        </w:rPr>
        <w:footnoteReference w:id="11"/>
      </w:r>
      <w:r w:rsidRPr="00634162">
        <w:rPr>
          <w:rFonts w:cs="Arial"/>
          <w:i/>
          <w:highlight w:val="lightGray"/>
        </w:rPr>
        <w:t>]</w:t>
      </w:r>
      <w:r>
        <w:rPr>
          <w:i/>
        </w:rPr>
        <w:t xml:space="preserve"> wertgesichert. Der veränderliche Preisanteil </w:t>
      </w:r>
      <w:r w:rsidRPr="00587201">
        <w:rPr>
          <w:i/>
        </w:rPr>
        <w:t>erhöh</w:t>
      </w:r>
      <w:r>
        <w:rPr>
          <w:i/>
        </w:rPr>
        <w:t>t</w:t>
      </w:r>
      <w:r w:rsidRPr="00587201">
        <w:rPr>
          <w:i/>
        </w:rPr>
        <w:t xml:space="preserve"> oder verminder</w:t>
      </w:r>
      <w:r>
        <w:rPr>
          <w:i/>
        </w:rPr>
        <w:t>t</w:t>
      </w:r>
      <w:r w:rsidRPr="00587201">
        <w:rPr>
          <w:i/>
        </w:rPr>
        <w:t xml:space="preserve"> sich</w:t>
      </w:r>
      <w:r w:rsidRPr="0030340F">
        <w:rPr>
          <w:i/>
        </w:rPr>
        <w:t xml:space="preserve"> </w:t>
      </w:r>
      <w:r>
        <w:rPr>
          <w:i/>
        </w:rPr>
        <w:t xml:space="preserve">in jenem </w:t>
      </w:r>
      <w:r w:rsidRPr="00587201">
        <w:rPr>
          <w:i/>
        </w:rPr>
        <w:t xml:space="preserve">Ausmaß, welcher der </w:t>
      </w:r>
      <w:r>
        <w:rPr>
          <w:i/>
        </w:rPr>
        <w:t>V</w:t>
      </w:r>
      <w:r w:rsidRPr="00587201">
        <w:rPr>
          <w:i/>
        </w:rPr>
        <w:t xml:space="preserve">eränderung </w:t>
      </w:r>
      <w:r>
        <w:rPr>
          <w:i/>
        </w:rPr>
        <w:t xml:space="preserve">des Index vom Zeitpunkt des </w:t>
      </w:r>
      <w:r w:rsidRPr="00587201">
        <w:rPr>
          <w:i/>
        </w:rPr>
        <w:t>Vertragsabschluss</w:t>
      </w:r>
      <w:r>
        <w:rPr>
          <w:i/>
        </w:rPr>
        <w:t>es</w:t>
      </w:r>
      <w:r w:rsidRPr="00587201">
        <w:rPr>
          <w:i/>
        </w:rPr>
        <w:t xml:space="preserve"> </w:t>
      </w:r>
      <w:r w:rsidRPr="00AC0532">
        <w:rPr>
          <w:i/>
          <w:iCs/>
        </w:rPr>
        <w:t xml:space="preserve">bis zu </w:t>
      </w:r>
      <w:r>
        <w:rPr>
          <w:i/>
          <w:iCs/>
        </w:rPr>
        <w:t>jenem</w:t>
      </w:r>
      <w:r w:rsidRPr="00AC0532">
        <w:rPr>
          <w:i/>
          <w:iCs/>
        </w:rPr>
        <w:t xml:space="preserve"> Zeitpunkt</w:t>
      </w:r>
      <w:r>
        <w:rPr>
          <w:i/>
          <w:iCs/>
        </w:rPr>
        <w:t xml:space="preserve">, zu dem </w:t>
      </w:r>
      <w:r w:rsidRPr="00AC0532">
        <w:rPr>
          <w:i/>
          <w:iCs/>
        </w:rPr>
        <w:t xml:space="preserve">die Leistung </w:t>
      </w:r>
      <w:r>
        <w:rPr>
          <w:i/>
          <w:iCs/>
        </w:rPr>
        <w:t xml:space="preserve">frühestens </w:t>
      </w:r>
      <w:r w:rsidRPr="00AC0532">
        <w:rPr>
          <w:i/>
          <w:iCs/>
        </w:rPr>
        <w:t>abgerechnet werden darf</w:t>
      </w:r>
      <w:r>
        <w:rPr>
          <w:i/>
          <w:iCs/>
        </w:rPr>
        <w:t>, entspricht</w:t>
      </w:r>
      <w:r w:rsidRPr="00587201">
        <w:rPr>
          <w:i/>
        </w:rPr>
        <w:t>.</w:t>
      </w:r>
      <w:r>
        <w:rPr>
          <w:i/>
        </w:rPr>
        <w:t xml:space="preserve"> Die derart angepassten Preise sind kaufmännisch auf ganze Cent-Beträge (auf- oder ab-) zu runden.</w:t>
      </w:r>
      <w:r w:rsidRPr="00517232">
        <w:rPr>
          <w:i/>
        </w:rPr>
        <w:t xml:space="preserve"> </w:t>
      </w:r>
    </w:p>
    <w:p w14:paraId="23DC8FA3" w14:textId="77777777" w:rsidR="00EF7695" w:rsidRDefault="00EF7695" w:rsidP="00950F9B">
      <w:pPr>
        <w:spacing w:after="240"/>
        <w:jc w:val="both"/>
        <w:rPr>
          <w:i/>
        </w:rPr>
      </w:pPr>
    </w:p>
    <w:p w14:paraId="4D0E36D8" w14:textId="77777777" w:rsidR="00875B88" w:rsidRPr="00950F9B" w:rsidRDefault="00875B88" w:rsidP="00950F9B">
      <w:pPr>
        <w:spacing w:before="480" w:after="240"/>
        <w:jc w:val="center"/>
        <w:rPr>
          <w:b/>
        </w:rPr>
      </w:pPr>
      <w:r w:rsidRPr="00950F9B">
        <w:rPr>
          <w:b/>
        </w:rPr>
        <w:t>Hinweise zur Verwendung:</w:t>
      </w:r>
    </w:p>
    <w:p w14:paraId="23DFDD9E" w14:textId="77777777" w:rsidR="00F87822" w:rsidRDefault="002B27BA" w:rsidP="00CB0F04">
      <w:pPr>
        <w:pStyle w:val="Listenabsatz"/>
        <w:numPr>
          <w:ilvl w:val="0"/>
          <w:numId w:val="3"/>
        </w:numPr>
        <w:spacing w:after="240" w:line="276" w:lineRule="auto"/>
        <w:ind w:left="425" w:hanging="425"/>
        <w:contextualSpacing w:val="0"/>
        <w:jc w:val="both"/>
      </w:pPr>
      <w:r w:rsidRPr="00C975CA">
        <w:rPr>
          <w:b/>
        </w:rPr>
        <w:t>Anwendungsbereich:</w:t>
      </w:r>
    </w:p>
    <w:p w14:paraId="00CB4CC3" w14:textId="44FF5F82" w:rsidR="00DA0C53" w:rsidRDefault="00950F9B" w:rsidP="00891029">
      <w:pPr>
        <w:spacing w:after="240" w:line="276" w:lineRule="auto"/>
        <w:ind w:left="425"/>
        <w:jc w:val="both"/>
      </w:pPr>
      <w:r>
        <w:t>Diese Klausel</w:t>
      </w:r>
      <w:r w:rsidR="00D30C87">
        <w:t>n</w:t>
      </w:r>
      <w:r>
        <w:t xml:space="preserve"> </w:t>
      </w:r>
      <w:r w:rsidR="00DA0C53">
        <w:t>sollte</w:t>
      </w:r>
      <w:r w:rsidR="00D30C87">
        <w:t>n</w:t>
      </w:r>
      <w:r w:rsidR="00DA0C53">
        <w:t xml:space="preserve"> </w:t>
      </w:r>
      <w:r>
        <w:t xml:space="preserve">nur für Verträge zwischen </w:t>
      </w:r>
      <w:r w:rsidR="002B27BA" w:rsidRPr="00891029">
        <w:rPr>
          <w:b/>
        </w:rPr>
        <w:t>Unternehmer</w:t>
      </w:r>
      <w:r w:rsidRPr="00891029">
        <w:rPr>
          <w:b/>
        </w:rPr>
        <w:t>n</w:t>
      </w:r>
      <w:r>
        <w:t xml:space="preserve"> verwendet werden. Eine Verwendung gegenüber Verbrauchern würde in mehrfacher Hinsicht gegen das Konsumentenschutzgesetz (KSchG) verstoßen. Achtung: Als Verbraucher gelten auch natürliche Personen, die im Zuge der Gründung ihres Unternehmens sog Gründungsgeschäfte abschließen (</w:t>
      </w:r>
      <w:r w:rsidR="003538D4">
        <w:t>§ 1 Abs </w:t>
      </w:r>
      <w:r>
        <w:t>3 KSchG: „</w:t>
      </w:r>
      <w:r w:rsidRPr="00950F9B">
        <w:t>Geschäfte, die eine natürliche Person vor Aufnahme des Betriebes ihres Unternehmens zur Schaffung der Voraussetzungen dafür tätigt</w:t>
      </w:r>
      <w:r>
        <w:t>“).</w:t>
      </w:r>
    </w:p>
    <w:p w14:paraId="22CF07BC" w14:textId="7E20DA2F" w:rsidR="00557BB6" w:rsidRDefault="00557BB6" w:rsidP="00CB0F04">
      <w:pPr>
        <w:pStyle w:val="Listenabsatz"/>
        <w:numPr>
          <w:ilvl w:val="0"/>
          <w:numId w:val="3"/>
        </w:numPr>
        <w:spacing w:after="240" w:line="276" w:lineRule="auto"/>
        <w:ind w:left="425" w:hanging="425"/>
        <w:contextualSpacing w:val="0"/>
        <w:jc w:val="both"/>
      </w:pPr>
      <w:r w:rsidRPr="00DA0C53">
        <w:rPr>
          <w:b/>
        </w:rPr>
        <w:t>Preisumrechnung veränderlicher Preise:</w:t>
      </w:r>
      <w:r>
        <w:t xml:space="preserve"> </w:t>
      </w:r>
      <w:r w:rsidR="002937F7">
        <w:t xml:space="preserve">Sind </w:t>
      </w:r>
      <w:r>
        <w:t xml:space="preserve">veränderliche Preise vereinbart </w:t>
      </w:r>
      <w:r w:rsidR="002937F7">
        <w:t>worden</w:t>
      </w:r>
      <w:r>
        <w:t xml:space="preserve">, muss die Art der Preisumrechnung </w:t>
      </w:r>
      <w:proofErr w:type="spellStart"/>
      <w:r>
        <w:t>hiefür</w:t>
      </w:r>
      <w:proofErr w:type="spellEnd"/>
      <w:r>
        <w:t xml:space="preserve"> festgelegt werden. </w:t>
      </w:r>
      <w:r w:rsidR="000B09C6">
        <w:t>Die geeignet</w:t>
      </w:r>
      <w:r w:rsidR="002937F7">
        <w:t>st</w:t>
      </w:r>
      <w:r w:rsidR="000B09C6">
        <w:t xml:space="preserve">e Grundlage dafür bildet die ÖNORM B 2111. </w:t>
      </w:r>
      <w:r>
        <w:t xml:space="preserve">Das Muster </w:t>
      </w:r>
      <w:r w:rsidR="00433DD1">
        <w:t xml:space="preserve">gibt </w:t>
      </w:r>
      <w:r w:rsidR="002937F7">
        <w:t xml:space="preserve">in </w:t>
      </w:r>
      <w:r w:rsidR="008074FB">
        <w:t>1.A.</w:t>
      </w:r>
      <w:r w:rsidR="002937F7">
        <w:t xml:space="preserve"> </w:t>
      </w:r>
      <w:r w:rsidR="00433DD1">
        <w:t xml:space="preserve">zunächst </w:t>
      </w:r>
      <w:r>
        <w:t xml:space="preserve">die gängige Art der </w:t>
      </w:r>
      <w:r>
        <w:lastRenderedPageBreak/>
        <w:t xml:space="preserve">Preisumrechnung – </w:t>
      </w:r>
      <w:r w:rsidRPr="00557BB6">
        <w:t>nach Preisanteilen Lohn und Sonstiges getrennt</w:t>
      </w:r>
      <w:r>
        <w:t xml:space="preserve"> – wieder.</w:t>
      </w:r>
      <w:r w:rsidR="006E322C">
        <w:t xml:space="preserve"> Um eine </w:t>
      </w:r>
      <w:r w:rsidR="006E322C" w:rsidRPr="00DA0C53">
        <w:rPr>
          <w:b/>
        </w:rPr>
        <w:t>nach Leistungsteilen getrennte</w:t>
      </w:r>
      <w:r w:rsidR="006E322C">
        <w:t xml:space="preserve"> Preisumrechnung zu erzielen, </w:t>
      </w:r>
      <w:r w:rsidR="00433DD1">
        <w:t xml:space="preserve">ist die Variante </w:t>
      </w:r>
      <w:r w:rsidR="008074FB">
        <w:t>1.B.</w:t>
      </w:r>
      <w:r w:rsidR="000B09C6">
        <w:t xml:space="preserve"> </w:t>
      </w:r>
      <w:r w:rsidR="00433DD1">
        <w:t xml:space="preserve">zu wählen. Kann eine generelle Vereinbarung veränderlicher Preise nicht durchgesetzt werden, ist es selbstverständlich auch möglich, nur für </w:t>
      </w:r>
      <w:r w:rsidR="00433DD1" w:rsidRPr="00DA0C53">
        <w:rPr>
          <w:b/>
        </w:rPr>
        <w:t>einzelne</w:t>
      </w:r>
      <w:r w:rsidR="00433DD1">
        <w:t xml:space="preserve"> – </w:t>
      </w:r>
      <w:r w:rsidR="00CE1A7A">
        <w:t xml:space="preserve">dann </w:t>
      </w:r>
      <w:r w:rsidR="00433DD1">
        <w:t xml:space="preserve">konkret anzuführende – Leistungsgruppen (etwa solche mit besonders preissensiblen Kostenbestandteilen) veränderliche Preise zu vereinbaren. In einem solchen Fall empfiehlt es sich, </w:t>
      </w:r>
      <w:r w:rsidR="00CE1A7A">
        <w:t xml:space="preserve">unmittelbar </w:t>
      </w:r>
      <w:r w:rsidR="00433DD1">
        <w:t xml:space="preserve">auf den </w:t>
      </w:r>
      <w:r w:rsidR="00CE1A7A">
        <w:t xml:space="preserve">jeweils </w:t>
      </w:r>
      <w:r w:rsidR="00433DD1">
        <w:t xml:space="preserve">einschlägigen </w:t>
      </w:r>
      <w:proofErr w:type="spellStart"/>
      <w:r w:rsidR="00433DD1">
        <w:t>Subindex</w:t>
      </w:r>
      <w:proofErr w:type="spellEnd"/>
      <w:r w:rsidR="00433DD1">
        <w:t xml:space="preserve"> des jeweiligen Baukostenindex zu referenzieren (</w:t>
      </w:r>
      <w:proofErr w:type="spellStart"/>
      <w:r w:rsidR="00433DD1">
        <w:t>zB</w:t>
      </w:r>
      <w:proofErr w:type="spellEnd"/>
      <w:r w:rsidR="00433DD1">
        <w:t xml:space="preserve"> </w:t>
      </w:r>
      <w:r w:rsidR="00433DD1" w:rsidRPr="00433DD1">
        <w:t>„</w:t>
      </w:r>
      <w:proofErr w:type="spellStart"/>
      <w:r w:rsidR="00433DD1" w:rsidRPr="00433DD1">
        <w:t>Subindex</w:t>
      </w:r>
      <w:proofErr w:type="spellEnd"/>
      <w:r w:rsidR="00433DD1" w:rsidRPr="00433DD1">
        <w:t xml:space="preserve"> LG31_2. Bewehrung“, Preisanteil Sonstiges</w:t>
      </w:r>
      <w:r w:rsidR="00CE1A7A">
        <w:t>).</w:t>
      </w:r>
      <w:r w:rsidR="002937F7">
        <w:t xml:space="preserve"> </w:t>
      </w:r>
    </w:p>
    <w:p w14:paraId="68886825" w14:textId="0849A8D5" w:rsidR="002937F7" w:rsidRDefault="00895D92" w:rsidP="00CB0F04">
      <w:pPr>
        <w:pStyle w:val="Listenabsatz"/>
        <w:numPr>
          <w:ilvl w:val="0"/>
          <w:numId w:val="3"/>
        </w:numPr>
        <w:spacing w:after="240" w:line="276" w:lineRule="auto"/>
        <w:ind w:left="425" w:hanging="425"/>
        <w:contextualSpacing w:val="0"/>
        <w:jc w:val="both"/>
      </w:pPr>
      <w:bookmarkStart w:id="5" w:name="_Ref75445559"/>
      <w:r w:rsidRPr="002937F7">
        <w:rPr>
          <w:b/>
        </w:rPr>
        <w:t xml:space="preserve">Durchbrechung </w:t>
      </w:r>
      <w:r w:rsidR="000B020E" w:rsidRPr="002937F7">
        <w:rPr>
          <w:b/>
        </w:rPr>
        <w:t>von</w:t>
      </w:r>
      <w:r w:rsidRPr="002937F7">
        <w:rPr>
          <w:b/>
        </w:rPr>
        <w:t xml:space="preserve"> Festpreisbindung</w:t>
      </w:r>
      <w:r w:rsidR="000B020E" w:rsidRPr="002937F7">
        <w:rPr>
          <w:b/>
        </w:rPr>
        <w:t>en</w:t>
      </w:r>
      <w:r w:rsidRPr="002937F7">
        <w:rPr>
          <w:b/>
        </w:rPr>
        <w:t>:</w:t>
      </w:r>
      <w:r>
        <w:t xml:space="preserve"> </w:t>
      </w:r>
      <w:r w:rsidR="000B020E">
        <w:t>Werden Festpreise vereinbart, können unvorhergesehene Schwankungen einzelner Kostenfaktoren (</w:t>
      </w:r>
      <w:proofErr w:type="spellStart"/>
      <w:r w:rsidR="000B020E">
        <w:t>zB</w:t>
      </w:r>
      <w:proofErr w:type="spellEnd"/>
      <w:r w:rsidR="000B020E">
        <w:t xml:space="preserve"> Stahlpreis) mitunter zu </w:t>
      </w:r>
      <w:r w:rsidR="007F5970">
        <w:t xml:space="preserve">einem </w:t>
      </w:r>
      <w:r w:rsidR="000B020E">
        <w:t xml:space="preserve">erheblichen </w:t>
      </w:r>
      <w:r w:rsidR="007F5970">
        <w:t>Abweichen der</w:t>
      </w:r>
      <w:r w:rsidR="000B020E">
        <w:t xml:space="preserve"> </w:t>
      </w:r>
      <w:r w:rsidR="007F5970">
        <w:t>tatsächlichen Kosten/Preis-Relation von der</w:t>
      </w:r>
      <w:r w:rsidR="000B020E">
        <w:t xml:space="preserve"> von den Parteien </w:t>
      </w:r>
      <w:r w:rsidR="007F5970">
        <w:t xml:space="preserve">bei Vertragsabschluss </w:t>
      </w:r>
      <w:r w:rsidR="000B020E">
        <w:t>beabsichtigten Kosten/Preis-Relation führen</w:t>
      </w:r>
      <w:r w:rsidR="00CC4E2F">
        <w:t xml:space="preserve">, und zwar naturgemäß </w:t>
      </w:r>
      <w:r w:rsidR="000B020E">
        <w:t xml:space="preserve">in beide Richtungen, </w:t>
      </w:r>
      <w:r w:rsidR="00503E53">
        <w:t xml:space="preserve">also </w:t>
      </w:r>
      <w:r w:rsidR="000B020E">
        <w:t xml:space="preserve">sowohl zugunsten als auch zulasten </w:t>
      </w:r>
      <w:r w:rsidR="00503E53">
        <w:t>jeder Seite</w:t>
      </w:r>
      <w:r w:rsidR="000B020E">
        <w:t>. Im Extremfall kann dies unkalkulierbare Risiken bergen.</w:t>
      </w:r>
      <w:r w:rsidR="00CB0F04">
        <w:t xml:space="preserve"> </w:t>
      </w:r>
      <w:r w:rsidR="00CC4E2F">
        <w:t>Bei Vereinbarung von</w:t>
      </w:r>
      <w:r w:rsidR="000B020E">
        <w:t xml:space="preserve"> Festpreise</w:t>
      </w:r>
      <w:r w:rsidR="00CC4E2F">
        <w:t>n</w:t>
      </w:r>
      <w:r w:rsidR="000B020E">
        <w:t xml:space="preserve"> </w:t>
      </w:r>
      <w:r w:rsidR="002937F7">
        <w:t xml:space="preserve">kann </w:t>
      </w:r>
      <w:r w:rsidR="00CC4E2F">
        <w:t xml:space="preserve">daher überlegt werden, </w:t>
      </w:r>
      <w:r w:rsidR="00CC4E2F" w:rsidRPr="002937F7">
        <w:rPr>
          <w:b/>
        </w:rPr>
        <w:t>unvorhergesehen starke</w:t>
      </w:r>
      <w:r w:rsidR="00CC4E2F">
        <w:t xml:space="preserve"> </w:t>
      </w:r>
      <w:r w:rsidR="00E4230E">
        <w:t xml:space="preserve">oder gar </w:t>
      </w:r>
      <w:r w:rsidR="00E4230E" w:rsidRPr="002937F7">
        <w:rPr>
          <w:b/>
        </w:rPr>
        <w:t>extreme</w:t>
      </w:r>
      <w:r w:rsidR="00E4230E">
        <w:t xml:space="preserve"> </w:t>
      </w:r>
      <w:r w:rsidR="00CC4E2F">
        <w:t>Kostenschwankungen von der Festpreisbindung auszunehmen</w:t>
      </w:r>
      <w:r w:rsidR="002937F7">
        <w:t xml:space="preserve">, wie das in </w:t>
      </w:r>
      <w:r w:rsidR="005D0397">
        <w:t>Punkt 2.</w:t>
      </w:r>
      <w:r w:rsidR="002937F7">
        <w:t xml:space="preserve"> des Muster</w:t>
      </w:r>
      <w:r w:rsidR="0062552A">
        <w:t>s</w:t>
      </w:r>
      <w:r w:rsidR="002937F7">
        <w:t xml:space="preserve"> vorgesehen ist</w:t>
      </w:r>
      <w:r w:rsidR="00CC4E2F">
        <w:t>.</w:t>
      </w:r>
      <w:r w:rsidR="002937F7">
        <w:t xml:space="preserve"> </w:t>
      </w:r>
    </w:p>
    <w:p w14:paraId="685AE73C" w14:textId="25BBC033" w:rsidR="002B27BA" w:rsidRDefault="00CC4E2F" w:rsidP="00CB0F04">
      <w:pPr>
        <w:pStyle w:val="Listenabsatz"/>
        <w:spacing w:after="240" w:line="276" w:lineRule="auto"/>
        <w:ind w:left="425"/>
        <w:contextualSpacing w:val="0"/>
        <w:jc w:val="both"/>
      </w:pPr>
      <w:r>
        <w:t xml:space="preserve">Der </w:t>
      </w:r>
      <w:r w:rsidRPr="002937F7">
        <w:rPr>
          <w:b/>
        </w:rPr>
        <w:t>Schwellenwert</w:t>
      </w:r>
      <w:r>
        <w:t xml:space="preserve"> dafür ist im </w:t>
      </w:r>
      <w:r w:rsidR="000B09C6">
        <w:t>Einzelnen</w:t>
      </w:r>
      <w:r>
        <w:t xml:space="preserve"> auszuhandeln</w:t>
      </w:r>
      <w:r w:rsidR="00503E53">
        <w:t xml:space="preserve"> und in den </w:t>
      </w:r>
      <w:proofErr w:type="spellStart"/>
      <w:r w:rsidR="00503E53">
        <w:t>Klauseltext</w:t>
      </w:r>
      <w:proofErr w:type="spellEnd"/>
      <w:r w:rsidR="00503E53">
        <w:t xml:space="preserve"> einzufügen</w:t>
      </w:r>
      <w:r>
        <w:t xml:space="preserve">. </w:t>
      </w:r>
      <w:r w:rsidR="00503E53">
        <w:t xml:space="preserve">Anhaltspunkte </w:t>
      </w:r>
      <w:r w:rsidR="00E4230E">
        <w:t>für die Höhe des Schwellenwertes</w:t>
      </w:r>
      <w:r w:rsidR="00503E53">
        <w:t xml:space="preserve"> bieten sowohl die ÖNORMEN als auch die Rechtsprechung: 2 % ist der Schwellenwert, ab dem es laut ÖNORM B 2111 bei</w:t>
      </w:r>
      <w:r>
        <w:t xml:space="preserve"> </w:t>
      </w:r>
      <w:r w:rsidRPr="002937F7">
        <w:rPr>
          <w:i/>
        </w:rPr>
        <w:t>veränderlichen Preisen</w:t>
      </w:r>
      <w:r>
        <w:t xml:space="preserve"> </w:t>
      </w:r>
      <w:r w:rsidR="00503E53">
        <w:t>zu einer</w:t>
      </w:r>
      <w:r>
        <w:t xml:space="preserve"> Preisanpassung </w:t>
      </w:r>
      <w:r w:rsidR="00503E53">
        <w:t>kommt</w:t>
      </w:r>
      <w:r w:rsidR="00E4230E">
        <w:t>; v</w:t>
      </w:r>
      <w:r>
        <w:t xml:space="preserve">ereinbart man </w:t>
      </w:r>
      <w:r w:rsidRPr="002937F7">
        <w:rPr>
          <w:i/>
        </w:rPr>
        <w:t>Festpreise</w:t>
      </w:r>
      <w:r>
        <w:t xml:space="preserve"> und will die Festpreisbindung nur bei starken Schwankungen durchbrechen, wird der Prozentsatz da</w:t>
      </w:r>
      <w:r w:rsidR="00503E53">
        <w:t xml:space="preserve">her </w:t>
      </w:r>
      <w:r w:rsidR="00503E53" w:rsidRPr="00CB0F04">
        <w:rPr>
          <w:i/>
        </w:rPr>
        <w:t>über</w:t>
      </w:r>
      <w:r w:rsidR="00503E53">
        <w:t xml:space="preserve"> diesem Wert liegen</w:t>
      </w:r>
      <w:r w:rsidR="009E7A8E">
        <w:t>.</w:t>
      </w:r>
      <w:r w:rsidR="00503E53">
        <w:t xml:space="preserve"> </w:t>
      </w:r>
      <w:r w:rsidR="009E7A8E">
        <w:t xml:space="preserve">In der Rechtsprechung wurde beispielsweise eine Lohnsteigerung von </w:t>
      </w:r>
      <w:r>
        <w:t>8 %</w:t>
      </w:r>
      <w:r w:rsidR="009E7A8E">
        <w:t xml:space="preserve"> als durchaus erhebliche</w:t>
      </w:r>
      <w:r w:rsidR="00921A2E">
        <w:t xml:space="preserve"> Kostenschwankung </w:t>
      </w:r>
      <w:r w:rsidR="009E7A8E">
        <w:t>angesehen</w:t>
      </w:r>
      <w:r>
        <w:t xml:space="preserve"> </w:t>
      </w:r>
      <w:r w:rsidR="009E7A8E" w:rsidRPr="002937F7">
        <w:rPr>
          <w:rFonts w:cs="Arial"/>
        </w:rPr>
        <w:t>(</w:t>
      </w:r>
      <w:r>
        <w:t>8</w:t>
      </w:r>
      <w:r w:rsidR="00503E53" w:rsidRPr="002937F7">
        <w:rPr>
          <w:rFonts w:cs="Arial"/>
        </w:rPr>
        <w:t> </w:t>
      </w:r>
      <w:r>
        <w:t>Ob 164/99x</w:t>
      </w:r>
      <w:r w:rsidR="009E7A8E">
        <w:t>, wo allerdings ohnedies veränderliche Preise vereinbart waren</w:t>
      </w:r>
      <w:r w:rsidR="00921A2E">
        <w:t>).</w:t>
      </w:r>
      <w:bookmarkEnd w:id="5"/>
      <w:r w:rsidR="004F11B8">
        <w:t xml:space="preserve"> Nach § 8 Abs 3 EO bleiben Indexänderungen bis zu einem Schwellwert von 10 % außer Betracht.</w:t>
      </w:r>
    </w:p>
    <w:p w14:paraId="6F34AF34" w14:textId="41C35BDB" w:rsidR="00713109" w:rsidRPr="007910D9" w:rsidRDefault="00713109" w:rsidP="00713109">
      <w:pPr>
        <w:pStyle w:val="Listenabsatz"/>
        <w:keepNext/>
        <w:numPr>
          <w:ilvl w:val="0"/>
          <w:numId w:val="3"/>
        </w:numPr>
        <w:spacing w:after="240"/>
        <w:ind w:left="425" w:hanging="425"/>
        <w:contextualSpacing w:val="0"/>
        <w:jc w:val="both"/>
        <w:rPr>
          <w:b/>
        </w:rPr>
      </w:pPr>
      <w:r w:rsidRPr="007910D9">
        <w:rPr>
          <w:b/>
        </w:rPr>
        <w:t>Wahl der passenden Klausel:</w:t>
      </w:r>
    </w:p>
    <w:p w14:paraId="5197453E" w14:textId="03E6B33B" w:rsidR="00AC50D8" w:rsidRPr="00AC50D8" w:rsidRDefault="00AC50D8" w:rsidP="00713109">
      <w:pPr>
        <w:pStyle w:val="Listenabsatz"/>
        <w:numPr>
          <w:ilvl w:val="0"/>
          <w:numId w:val="10"/>
        </w:numPr>
        <w:spacing w:after="240"/>
        <w:ind w:left="850" w:hanging="425"/>
        <w:contextualSpacing w:val="0"/>
        <w:jc w:val="both"/>
        <w:rPr>
          <w:bCs/>
        </w:rPr>
      </w:pPr>
      <w:r>
        <w:rPr>
          <w:bCs/>
        </w:rPr>
        <w:t>Für Verträge, deren</w:t>
      </w:r>
      <w:r w:rsidRPr="00AC50D8">
        <w:rPr>
          <w:bCs/>
        </w:rPr>
        <w:t xml:space="preserve"> Leistungserbringung </w:t>
      </w:r>
      <w:r>
        <w:rPr>
          <w:bCs/>
        </w:rPr>
        <w:t xml:space="preserve">sich </w:t>
      </w:r>
      <w:r w:rsidRPr="00AC50D8">
        <w:rPr>
          <w:bCs/>
        </w:rPr>
        <w:t>über einen längeren Zeitraum erstreckt</w:t>
      </w:r>
      <w:r>
        <w:rPr>
          <w:bCs/>
        </w:rPr>
        <w:t xml:space="preserve"> (insbesondere Bau-Werkverträge, die auf der ÖNORM B 2110 beruhen)</w:t>
      </w:r>
      <w:r w:rsidRPr="00AC50D8">
        <w:rPr>
          <w:bCs/>
        </w:rPr>
        <w:t>,</w:t>
      </w:r>
      <w:r>
        <w:rPr>
          <w:bCs/>
        </w:rPr>
        <w:t xml:space="preserve"> sind die Punkte 1. und 2. relevant.</w:t>
      </w:r>
      <w:r w:rsidRPr="00AC50D8">
        <w:rPr>
          <w:bCs/>
        </w:rPr>
        <w:t xml:space="preserve"> </w:t>
      </w:r>
      <w:r>
        <w:rPr>
          <w:bCs/>
        </w:rPr>
        <w:t xml:space="preserve">Davon sind jene Verträge zu </w:t>
      </w:r>
      <w:r w:rsidRPr="00AC50D8">
        <w:rPr>
          <w:bCs/>
        </w:rPr>
        <w:t xml:space="preserve">unterscheiden, </w:t>
      </w:r>
      <w:r w:rsidR="00CB28EC">
        <w:rPr>
          <w:bCs/>
        </w:rPr>
        <w:t>bei welchen</w:t>
      </w:r>
      <w:r w:rsidRPr="00AC50D8">
        <w:rPr>
          <w:bCs/>
        </w:rPr>
        <w:t xml:space="preserve"> die Leistung </w:t>
      </w:r>
      <w:r w:rsidR="00CB28EC">
        <w:rPr>
          <w:bCs/>
        </w:rPr>
        <w:t xml:space="preserve">erst </w:t>
      </w:r>
      <w:r w:rsidRPr="00AC50D8">
        <w:rPr>
          <w:bCs/>
        </w:rPr>
        <w:t xml:space="preserve">einige Zeit nach </w:t>
      </w:r>
      <w:r w:rsidR="00CB28EC">
        <w:rPr>
          <w:bCs/>
        </w:rPr>
        <w:t>erfolgter</w:t>
      </w:r>
      <w:r w:rsidRPr="00AC50D8">
        <w:rPr>
          <w:bCs/>
        </w:rPr>
        <w:t xml:space="preserve"> Vereinbarung </w:t>
      </w:r>
      <w:r w:rsidR="00CB28EC">
        <w:rPr>
          <w:bCs/>
        </w:rPr>
        <w:t>abgerufen</w:t>
      </w:r>
      <w:r w:rsidRPr="00AC50D8">
        <w:rPr>
          <w:bCs/>
        </w:rPr>
        <w:t xml:space="preserve"> wird und </w:t>
      </w:r>
      <w:r w:rsidR="00CB28EC">
        <w:rPr>
          <w:bCs/>
        </w:rPr>
        <w:t xml:space="preserve">wo </w:t>
      </w:r>
      <w:r w:rsidRPr="00AC50D8">
        <w:rPr>
          <w:bCs/>
        </w:rPr>
        <w:t>eine bloße Valorisierung des Angebot</w:t>
      </w:r>
      <w:r>
        <w:rPr>
          <w:bCs/>
        </w:rPr>
        <w:t>s</w:t>
      </w:r>
      <w:r w:rsidRPr="00AC50D8">
        <w:rPr>
          <w:bCs/>
        </w:rPr>
        <w:t xml:space="preserve">preises im Fokus steht. Für </w:t>
      </w:r>
      <w:r w:rsidR="00CB28EC">
        <w:rPr>
          <w:bCs/>
        </w:rPr>
        <w:t>diesen</w:t>
      </w:r>
      <w:r w:rsidRPr="00AC50D8">
        <w:rPr>
          <w:bCs/>
        </w:rPr>
        <w:t xml:space="preserve"> Fall sind </w:t>
      </w:r>
      <w:r w:rsidR="00CB28EC">
        <w:rPr>
          <w:bCs/>
        </w:rPr>
        <w:t>die Punkte 3.A. und 3.B.</w:t>
      </w:r>
      <w:r w:rsidRPr="00AC50D8">
        <w:rPr>
          <w:bCs/>
        </w:rPr>
        <w:t xml:space="preserve"> geeignet. </w:t>
      </w:r>
      <w:r w:rsidR="00CB28EC">
        <w:rPr>
          <w:bCs/>
        </w:rPr>
        <w:t xml:space="preserve">Dabei werden, im Gegensatz zur </w:t>
      </w:r>
      <w:proofErr w:type="spellStart"/>
      <w:r w:rsidR="00CB28EC">
        <w:rPr>
          <w:bCs/>
        </w:rPr>
        <w:t>Preisgleitung</w:t>
      </w:r>
      <w:proofErr w:type="spellEnd"/>
      <w:r w:rsidR="00CB28EC">
        <w:rPr>
          <w:bCs/>
        </w:rPr>
        <w:t xml:space="preserve"> nach ÖNORM B 2111, keine Schwellenwerte und Abminderungsfaktoren berücksichtigt.</w:t>
      </w:r>
    </w:p>
    <w:p w14:paraId="4C5F46EA" w14:textId="7EE0CBD1" w:rsidR="00713109" w:rsidRDefault="00713109" w:rsidP="00713109">
      <w:pPr>
        <w:pStyle w:val="Listenabsatz"/>
        <w:numPr>
          <w:ilvl w:val="0"/>
          <w:numId w:val="10"/>
        </w:numPr>
        <w:spacing w:after="240"/>
        <w:ind w:left="850" w:hanging="425"/>
        <w:contextualSpacing w:val="0"/>
        <w:jc w:val="both"/>
      </w:pPr>
      <w:r>
        <w:t>Steht kein</w:t>
      </w:r>
      <w:r w:rsidRPr="007C685C">
        <w:t xml:space="preserve"> </w:t>
      </w:r>
      <w:r>
        <w:t xml:space="preserve">passender branchenspezifischer Index zur Verfügung, kann ein Index gewählt werden, der sich auf den für das Produkt </w:t>
      </w:r>
      <w:proofErr w:type="spellStart"/>
      <w:r>
        <w:t>bzw</w:t>
      </w:r>
      <w:proofErr w:type="spellEnd"/>
      <w:r>
        <w:t xml:space="preserve"> die Dienstleistung wichtigsten Kostenfaktor, wie etwa einen bestimmten Materialpreis, bezieht. Dafür ist </w:t>
      </w:r>
      <w:r w:rsidR="00901C2F">
        <w:rPr>
          <w:b/>
        </w:rPr>
        <w:t>Punkt</w:t>
      </w:r>
      <w:r w:rsidRPr="0022592E">
        <w:rPr>
          <w:b/>
        </w:rPr>
        <w:t> 3</w:t>
      </w:r>
      <w:r w:rsidR="00410A7A">
        <w:rPr>
          <w:b/>
        </w:rPr>
        <w:t>.B</w:t>
      </w:r>
      <w:r w:rsidRPr="00730372">
        <w:rPr>
          <w:b/>
        </w:rPr>
        <w:t xml:space="preserve"> (</w:t>
      </w:r>
      <w:r w:rsidR="00901C2F">
        <w:rPr>
          <w:b/>
        </w:rPr>
        <w:t>Wertsicherung einzelner Leistungsanteile bzw. Materialanteile</w:t>
      </w:r>
      <w:r w:rsidRPr="00730372">
        <w:rPr>
          <w:b/>
        </w:rPr>
        <w:t>)</w:t>
      </w:r>
      <w:r w:rsidRPr="007C685C">
        <w:t xml:space="preserve"> </w:t>
      </w:r>
      <w:r>
        <w:t xml:space="preserve">vorgesehen, zu deren Anwendung Hinweis </w:t>
      </w:r>
      <w:proofErr w:type="spellStart"/>
      <w:r>
        <w:t>Nr</w:t>
      </w:r>
      <w:proofErr w:type="spellEnd"/>
      <w:r>
        <w:t> </w:t>
      </w:r>
      <w:r w:rsidR="00901C2F">
        <w:t>5</w:t>
      </w:r>
      <w:r>
        <w:t xml:space="preserve"> zu beachten ist.</w:t>
      </w:r>
    </w:p>
    <w:p w14:paraId="1F6E72C6" w14:textId="7DCC5A76" w:rsidR="00713109" w:rsidRPr="00400240" w:rsidRDefault="00713109" w:rsidP="00713109">
      <w:pPr>
        <w:pStyle w:val="Listenabsatz"/>
        <w:keepNext/>
        <w:numPr>
          <w:ilvl w:val="0"/>
          <w:numId w:val="3"/>
        </w:numPr>
        <w:spacing w:after="240"/>
        <w:ind w:left="425" w:hanging="425"/>
        <w:contextualSpacing w:val="0"/>
        <w:jc w:val="both"/>
        <w:rPr>
          <w:b/>
        </w:rPr>
      </w:pPr>
      <w:bookmarkStart w:id="6" w:name="_Ref75421373"/>
      <w:r w:rsidRPr="00400240">
        <w:rPr>
          <w:b/>
        </w:rPr>
        <w:lastRenderedPageBreak/>
        <w:t>Wahl des passenden Index:</w:t>
      </w:r>
      <w:bookmarkEnd w:id="6"/>
    </w:p>
    <w:p w14:paraId="6B35DDEF" w14:textId="23B768B7" w:rsidR="00713109" w:rsidRPr="003E00E7" w:rsidRDefault="00713109" w:rsidP="00713109">
      <w:pPr>
        <w:pStyle w:val="Listenabsatz"/>
        <w:numPr>
          <w:ilvl w:val="0"/>
          <w:numId w:val="10"/>
        </w:numPr>
        <w:spacing w:after="240"/>
        <w:ind w:left="850" w:hanging="425"/>
        <w:contextualSpacing w:val="0"/>
        <w:jc w:val="both"/>
      </w:pPr>
      <w:r w:rsidRPr="00BC2441">
        <w:rPr>
          <w:rFonts w:cs="Arial"/>
        </w:rPr>
        <w:t xml:space="preserve">Der Index </w:t>
      </w:r>
      <w:r>
        <w:rPr>
          <w:rFonts w:cs="Arial"/>
        </w:rPr>
        <w:t>sollte</w:t>
      </w:r>
      <w:r w:rsidRPr="00BC2441">
        <w:rPr>
          <w:rFonts w:cs="Arial"/>
        </w:rPr>
        <w:t xml:space="preserve"> vom Willen des Unternehmers </w:t>
      </w:r>
      <w:r w:rsidRPr="00BC2441">
        <w:t>unabhängig</w:t>
      </w:r>
      <w:r w:rsidRPr="00BC2441">
        <w:rPr>
          <w:rFonts w:cs="Arial"/>
          <w:b/>
        </w:rPr>
        <w:t xml:space="preserve"> </w:t>
      </w:r>
      <w:r w:rsidRPr="00BC2441">
        <w:rPr>
          <w:rFonts w:cs="Arial"/>
        </w:rPr>
        <w:t xml:space="preserve">sein, also von </w:t>
      </w:r>
      <w:r w:rsidRPr="00BC2441">
        <w:t>einer</w:t>
      </w:r>
      <w:r w:rsidRPr="00BC2441">
        <w:rPr>
          <w:rFonts w:cs="Arial"/>
        </w:rPr>
        <w:t xml:space="preserve"> </w:t>
      </w:r>
      <w:r w:rsidRPr="00BC2441">
        <w:rPr>
          <w:rFonts w:cs="Arial"/>
          <w:b/>
        </w:rPr>
        <w:t>unabhängigen Stelle</w:t>
      </w:r>
      <w:r w:rsidRPr="00BC2441">
        <w:rPr>
          <w:rFonts w:cs="Arial"/>
        </w:rPr>
        <w:t xml:space="preserve"> publiziert werden.</w:t>
      </w:r>
      <w:r w:rsidRPr="00BC2441">
        <w:rPr>
          <w:rFonts w:cs="Arial"/>
          <w:b/>
        </w:rPr>
        <w:t xml:space="preserve"> </w:t>
      </w:r>
      <w:r w:rsidRPr="003E00E7">
        <w:rPr>
          <w:rFonts w:cs="Arial"/>
        </w:rPr>
        <w:t xml:space="preserve">Wenn es sich nicht um </w:t>
      </w:r>
      <w:r>
        <w:rPr>
          <w:rFonts w:cs="Arial"/>
        </w:rPr>
        <w:t>einen</w:t>
      </w:r>
      <w:r w:rsidRPr="003E00E7">
        <w:rPr>
          <w:rFonts w:cs="Arial"/>
        </w:rPr>
        <w:t xml:space="preserve"> </w:t>
      </w:r>
      <w:r w:rsidRPr="00781112">
        <w:t>allgemein</w:t>
      </w:r>
      <w:r w:rsidRPr="003E00E7">
        <w:rPr>
          <w:rFonts w:cs="Arial"/>
        </w:rPr>
        <w:t xml:space="preserve"> bekannten</w:t>
      </w:r>
      <w:r w:rsidRPr="003E00E7">
        <w:t xml:space="preserve"> </w:t>
      </w:r>
      <w:r>
        <w:t xml:space="preserve">Index wie den Baukostenindex </w:t>
      </w:r>
      <w:r>
        <w:rPr>
          <w:rFonts w:cs="Arial"/>
        </w:rPr>
        <w:t xml:space="preserve">handelt, sollte der Index-Administrator in der Klausel </w:t>
      </w:r>
      <w:r w:rsidRPr="003F64D8">
        <w:rPr>
          <w:rFonts w:cs="Arial"/>
        </w:rPr>
        <w:t>genannt</w:t>
      </w:r>
      <w:r>
        <w:rPr>
          <w:rFonts w:cs="Arial"/>
        </w:rPr>
        <w:t xml:space="preserve"> werden (</w:t>
      </w:r>
      <w:proofErr w:type="spellStart"/>
      <w:r>
        <w:rPr>
          <w:rFonts w:cs="Arial"/>
        </w:rPr>
        <w:t>zB</w:t>
      </w:r>
      <w:proofErr w:type="spellEnd"/>
      <w:r>
        <w:rPr>
          <w:rFonts w:cs="Arial"/>
        </w:rPr>
        <w:t> </w:t>
      </w:r>
      <w:r w:rsidRPr="00C46269">
        <w:rPr>
          <w:rFonts w:cs="Arial"/>
          <w:i/>
        </w:rPr>
        <w:t>„Statistik Austria (Bundesanstalt Statistik Österreich)</w:t>
      </w:r>
      <w:r w:rsidRPr="00C46269">
        <w:rPr>
          <w:i/>
        </w:rPr>
        <w:t>“</w:t>
      </w:r>
      <w:r>
        <w:rPr>
          <w:rFonts w:cs="Arial"/>
        </w:rPr>
        <w:t>).</w:t>
      </w:r>
    </w:p>
    <w:p w14:paraId="0C900905" w14:textId="77777777" w:rsidR="00713109" w:rsidRPr="003E00E7" w:rsidRDefault="00713109" w:rsidP="00713109">
      <w:pPr>
        <w:pStyle w:val="Listenabsatz"/>
        <w:numPr>
          <w:ilvl w:val="0"/>
          <w:numId w:val="10"/>
        </w:numPr>
        <w:spacing w:after="240"/>
        <w:ind w:left="850" w:hanging="425"/>
        <w:contextualSpacing w:val="0"/>
        <w:jc w:val="both"/>
      </w:pPr>
      <w:r>
        <w:rPr>
          <w:rFonts w:cs="Arial"/>
        </w:rPr>
        <w:t xml:space="preserve">Jedenfalls der Index selbst muss in der Klausel </w:t>
      </w:r>
      <w:r>
        <w:rPr>
          <w:rFonts w:cs="Arial"/>
          <w:b/>
        </w:rPr>
        <w:t>eindeutig bezeichnet</w:t>
      </w:r>
      <w:r>
        <w:rPr>
          <w:rFonts w:cs="Arial"/>
        </w:rPr>
        <w:t xml:space="preserve"> werden. Wenn verschiedene </w:t>
      </w:r>
      <w:r w:rsidRPr="00781112">
        <w:rPr>
          <w:rFonts w:cs="Arial"/>
          <w:b/>
        </w:rPr>
        <w:t>Indexreihen</w:t>
      </w:r>
      <w:r>
        <w:rPr>
          <w:rFonts w:cs="Arial"/>
        </w:rPr>
        <w:t xml:space="preserve"> existieren, sollte klargestellt werden, an welche </w:t>
      </w:r>
      <w:r w:rsidRPr="00781112">
        <w:t>Indexreihe</w:t>
      </w:r>
      <w:r>
        <w:rPr>
          <w:rFonts w:cs="Arial"/>
        </w:rPr>
        <w:t xml:space="preserve"> angeknüpft wird (</w:t>
      </w:r>
      <w:proofErr w:type="spellStart"/>
      <w:r>
        <w:rPr>
          <w:rFonts w:cs="Arial"/>
        </w:rPr>
        <w:t>zB</w:t>
      </w:r>
      <w:proofErr w:type="spellEnd"/>
      <w:r>
        <w:rPr>
          <w:rFonts w:cs="Arial"/>
        </w:rPr>
        <w:t xml:space="preserve"> </w:t>
      </w:r>
      <w:r w:rsidRPr="00C46269">
        <w:rPr>
          <w:rFonts w:cs="Arial"/>
          <w:i/>
        </w:rPr>
        <w:t>„</w:t>
      </w:r>
      <w:r w:rsidRPr="00C46269">
        <w:rPr>
          <w:i/>
        </w:rPr>
        <w:t>Baukostenindex für den Wohnhaus- und Siedlungsbau, Basisjahr 2020“</w:t>
      </w:r>
      <w:r>
        <w:rPr>
          <w:rFonts w:cs="Arial"/>
        </w:rPr>
        <w:t xml:space="preserve">). Wird auf einen </w:t>
      </w:r>
      <w:proofErr w:type="spellStart"/>
      <w:r>
        <w:rPr>
          <w:rFonts w:cs="Arial"/>
          <w:b/>
        </w:rPr>
        <w:t>Subi</w:t>
      </w:r>
      <w:r w:rsidRPr="00781112">
        <w:rPr>
          <w:rFonts w:cs="Arial"/>
          <w:b/>
        </w:rPr>
        <w:t>ndex</w:t>
      </w:r>
      <w:proofErr w:type="spellEnd"/>
      <w:r>
        <w:rPr>
          <w:rFonts w:cs="Arial"/>
        </w:rPr>
        <w:t xml:space="preserve"> referenziert, ist auch dieser möglichst eindeutig zu bezeichnen (</w:t>
      </w:r>
      <w:proofErr w:type="spellStart"/>
      <w:r>
        <w:rPr>
          <w:rFonts w:cs="Arial"/>
        </w:rPr>
        <w:t>zB</w:t>
      </w:r>
      <w:proofErr w:type="spellEnd"/>
      <w:r>
        <w:rPr>
          <w:rFonts w:cs="Arial"/>
        </w:rPr>
        <w:t> </w:t>
      </w:r>
      <w:r w:rsidRPr="005F11C2">
        <w:rPr>
          <w:rFonts w:cs="Arial"/>
          <w:i/>
        </w:rPr>
        <w:t>„</w:t>
      </w:r>
      <w:r w:rsidRPr="005F11C2">
        <w:rPr>
          <w:i/>
        </w:rPr>
        <w:t xml:space="preserve">Großhandelspreisindex 2020=100 für Eisen und Stahl </w:t>
      </w:r>
      <w:r>
        <w:rPr>
          <w:i/>
        </w:rPr>
        <w:t>(Pos. </w:t>
      </w:r>
      <w:r w:rsidRPr="005F11C2">
        <w:rPr>
          <w:i/>
        </w:rPr>
        <w:t>46.72.13</w:t>
      </w:r>
      <w:r w:rsidRPr="005F11C2">
        <w:rPr>
          <w:rFonts w:cs="Arial"/>
          <w:i/>
        </w:rPr>
        <w:t>)“</w:t>
      </w:r>
      <w:r>
        <w:rPr>
          <w:rFonts w:cs="Arial"/>
        </w:rPr>
        <w:t>).</w:t>
      </w:r>
    </w:p>
    <w:p w14:paraId="0CB6CD93" w14:textId="152758B6" w:rsidR="00713109" w:rsidRDefault="00713109" w:rsidP="00713109">
      <w:pPr>
        <w:pStyle w:val="Listenabsatz"/>
        <w:numPr>
          <w:ilvl w:val="0"/>
          <w:numId w:val="10"/>
        </w:numPr>
        <w:spacing w:after="240"/>
        <w:ind w:left="850" w:hanging="425"/>
        <w:contextualSpacing w:val="0"/>
        <w:jc w:val="both"/>
      </w:pPr>
      <w:r>
        <w:rPr>
          <w:rFonts w:cs="Arial"/>
        </w:rPr>
        <w:t xml:space="preserve">In jedem Fall zu empfehlen ist die Anknüpfung an einen </w:t>
      </w:r>
      <w:r w:rsidRPr="00B54051">
        <w:rPr>
          <w:rFonts w:cs="Arial"/>
          <w:b/>
        </w:rPr>
        <w:t>sachlich</w:t>
      </w:r>
      <w:r w:rsidRPr="00625DC8">
        <w:rPr>
          <w:rFonts w:cs="Arial"/>
          <w:b/>
        </w:rPr>
        <w:t xml:space="preserve"> gerechtfertigt</w:t>
      </w:r>
      <w:r>
        <w:rPr>
          <w:rFonts w:cs="Arial"/>
          <w:b/>
        </w:rPr>
        <w:t>en</w:t>
      </w:r>
      <w:r w:rsidRPr="00625DC8">
        <w:rPr>
          <w:rFonts w:cs="Arial"/>
        </w:rPr>
        <w:t xml:space="preserve"> </w:t>
      </w:r>
      <w:r w:rsidRPr="00BC2441">
        <w:rPr>
          <w:rFonts w:cs="Arial"/>
        </w:rPr>
        <w:t>Index</w:t>
      </w:r>
      <w:r w:rsidRPr="00625DC8">
        <w:rPr>
          <w:rFonts w:cs="Arial"/>
        </w:rPr>
        <w:t>,</w:t>
      </w:r>
      <w:r>
        <w:t xml:space="preserve"> also einen solchen, der die reale Entwicklung der Kostenstruktur der </w:t>
      </w:r>
      <w:r w:rsidRPr="00BC2441">
        <w:rPr>
          <w:rFonts w:cs="Arial"/>
        </w:rPr>
        <w:t>vertragsgegenständlichen</w:t>
      </w:r>
      <w:r>
        <w:t xml:space="preserve"> Waren oder </w:t>
      </w:r>
      <w:r w:rsidRPr="00BC2441">
        <w:rPr>
          <w:rFonts w:cs="Arial"/>
        </w:rPr>
        <w:t>Dienstleistungen</w:t>
      </w:r>
      <w:r>
        <w:t xml:space="preserve"> (</w:t>
      </w:r>
      <w:r w:rsidRPr="00BC2441">
        <w:rPr>
          <w:rFonts w:cs="Arial"/>
        </w:rPr>
        <w:t>zumindest</w:t>
      </w:r>
      <w:r>
        <w:t xml:space="preserve"> annähernd) widerspiegelt. Sollte die Klausel in Vertragsformblättern oder in allgemeinen Geschäfts-/Vertragsbedingungen verwendet werden, ist das auch rechtlich erforderlich, um einen möglichen Einwand der Unwirksamkeit nach § 879 Abs 3 ABGB zu vermeiden. Bezieht sich der Index nur auf einen (nicht dominant preisbestimmenden) </w:t>
      </w:r>
      <w:r w:rsidRPr="005F11C2">
        <w:rPr>
          <w:b/>
        </w:rPr>
        <w:t>Teil</w:t>
      </w:r>
      <w:r>
        <w:t xml:space="preserve"> der für die </w:t>
      </w:r>
      <w:r w:rsidRPr="00BC2441">
        <w:rPr>
          <w:rFonts w:cs="Arial"/>
        </w:rPr>
        <w:t>vertragsgegenständlichen</w:t>
      </w:r>
      <w:r>
        <w:t xml:space="preserve"> Waren oder </w:t>
      </w:r>
      <w:r w:rsidRPr="00BC2441">
        <w:rPr>
          <w:rFonts w:cs="Arial"/>
        </w:rPr>
        <w:t>Dienstleistungen</w:t>
      </w:r>
      <w:r>
        <w:t xml:space="preserve"> kalkulatorisch relevanten Kostenfaktoren, erscheint es am sachlich passendsten, die Preise – wie im Mustertext </w:t>
      </w:r>
      <w:r w:rsidR="0062552A">
        <w:t>Punkt 3.B.</w:t>
      </w:r>
      <w:r w:rsidRPr="005F11C2">
        <w:t xml:space="preserve"> – nur </w:t>
      </w:r>
      <w:r w:rsidRPr="005F11C2">
        <w:rPr>
          <w:b/>
        </w:rPr>
        <w:t>anteilig</w:t>
      </w:r>
      <w:r w:rsidRPr="005F11C2">
        <w:t xml:space="preserve"> </w:t>
      </w:r>
      <w:r>
        <w:t>zu indexieren</w:t>
      </w:r>
      <w:r w:rsidRPr="005F11C2">
        <w:t>, also für jenen Preisanteil, der auf die betreffenden Kostenfaktoren zurückgeht.</w:t>
      </w:r>
    </w:p>
    <w:p w14:paraId="5BF94230" w14:textId="77777777" w:rsidR="00713109" w:rsidRDefault="00713109" w:rsidP="00713109">
      <w:pPr>
        <w:pStyle w:val="Listenabsatz"/>
        <w:numPr>
          <w:ilvl w:val="0"/>
          <w:numId w:val="10"/>
        </w:numPr>
        <w:spacing w:after="240"/>
        <w:ind w:left="850" w:hanging="425"/>
        <w:contextualSpacing w:val="0"/>
        <w:jc w:val="both"/>
      </w:pPr>
      <w:r>
        <w:t xml:space="preserve">Eine Anknüpfung an </w:t>
      </w:r>
      <w:r w:rsidRPr="003B1C4A">
        <w:rPr>
          <w:b/>
        </w:rPr>
        <w:t>mehrere Indizes</w:t>
      </w:r>
      <w:r>
        <w:t xml:space="preserve"> wäre zulässig, insbesondere wenn jeder dieser Indizes einen Teil der für die </w:t>
      </w:r>
      <w:r w:rsidRPr="00BC2441">
        <w:rPr>
          <w:rFonts w:cs="Arial"/>
        </w:rPr>
        <w:t>vertragsgegenständlichen</w:t>
      </w:r>
      <w:r>
        <w:t xml:space="preserve"> Waren oder </w:t>
      </w:r>
      <w:r w:rsidRPr="00BC2441">
        <w:rPr>
          <w:rFonts w:cs="Arial"/>
        </w:rPr>
        <w:t>Dienstleistungen</w:t>
      </w:r>
      <w:r>
        <w:t xml:space="preserve"> kalkulatorisch relevanten Kostenfaktoren abbildet. In diesem Fall sollte jedoch klar geregelt werden, zu </w:t>
      </w:r>
      <w:r w:rsidRPr="003B1C4A">
        <w:rPr>
          <w:b/>
        </w:rPr>
        <w:t xml:space="preserve">welchem Anteil </w:t>
      </w:r>
      <w:r>
        <w:t xml:space="preserve">die Preise an die Entwicklung </w:t>
      </w:r>
      <w:r w:rsidRPr="003B1C4A">
        <w:rPr>
          <w:b/>
        </w:rPr>
        <w:t>des einen und des anderen</w:t>
      </w:r>
      <w:r>
        <w:t xml:space="preserve"> Index angepasst werden. </w:t>
      </w:r>
    </w:p>
    <w:p w14:paraId="046D17B6" w14:textId="651C8F86" w:rsidR="00713109" w:rsidRDefault="00713109" w:rsidP="00713109">
      <w:pPr>
        <w:pStyle w:val="Listenabsatz"/>
        <w:numPr>
          <w:ilvl w:val="0"/>
          <w:numId w:val="10"/>
        </w:numPr>
        <w:spacing w:after="240"/>
        <w:ind w:left="850" w:hanging="425"/>
        <w:contextualSpacing w:val="0"/>
        <w:jc w:val="both"/>
      </w:pPr>
      <w:r>
        <w:t xml:space="preserve">Sind im Vertrag </w:t>
      </w:r>
      <w:r w:rsidRPr="00085927">
        <w:rPr>
          <w:b/>
        </w:rPr>
        <w:t xml:space="preserve">mehrere Preise </w:t>
      </w:r>
      <w:r w:rsidRPr="004C4B9A">
        <w:t>für</w:t>
      </w:r>
      <w:r w:rsidRPr="00085927">
        <w:rPr>
          <w:b/>
        </w:rPr>
        <w:t xml:space="preserve"> unterschiedliche Leistungen</w:t>
      </w:r>
      <w:r>
        <w:t xml:space="preserve"> vereinbart, denen unterschiedliche Kostenfaktoren </w:t>
      </w:r>
      <w:r w:rsidR="00901C2F">
        <w:t>zugrunde liegen</w:t>
      </w:r>
      <w:r>
        <w:t xml:space="preserve">, könnte für jeden dieser Preise eine gesonderte Indexklausel vorgesehen werden. In diesem Fall sollte jedoch klar geregelt werden, für </w:t>
      </w:r>
      <w:r w:rsidRPr="004C4B9A">
        <w:rPr>
          <w:b/>
        </w:rPr>
        <w:t>welchen Preis welche Indexklausel</w:t>
      </w:r>
      <w:r>
        <w:t xml:space="preserve"> gilt. </w:t>
      </w:r>
    </w:p>
    <w:p w14:paraId="683366A6" w14:textId="4B856B2E" w:rsidR="00713109" w:rsidRPr="00400240" w:rsidRDefault="00901C2F" w:rsidP="00713109">
      <w:pPr>
        <w:pStyle w:val="Listenabsatz"/>
        <w:keepNext/>
        <w:numPr>
          <w:ilvl w:val="0"/>
          <w:numId w:val="3"/>
        </w:numPr>
        <w:spacing w:after="240"/>
        <w:ind w:left="425" w:hanging="425"/>
        <w:contextualSpacing w:val="0"/>
        <w:jc w:val="both"/>
        <w:rPr>
          <w:b/>
        </w:rPr>
      </w:pPr>
      <w:bookmarkStart w:id="7" w:name="_Ref75533312"/>
      <w:r>
        <w:rPr>
          <w:b/>
        </w:rPr>
        <w:t>Hinweise zur Ausgestaltung von Preisanpassungsklauseln</w:t>
      </w:r>
      <w:r w:rsidR="00713109" w:rsidRPr="00400240">
        <w:rPr>
          <w:b/>
        </w:rPr>
        <w:t>:</w:t>
      </w:r>
      <w:bookmarkEnd w:id="7"/>
    </w:p>
    <w:p w14:paraId="6D64236F" w14:textId="77777777" w:rsidR="00713109" w:rsidRDefault="00713109" w:rsidP="00713109">
      <w:pPr>
        <w:pStyle w:val="Listenabsatz"/>
        <w:numPr>
          <w:ilvl w:val="0"/>
          <w:numId w:val="10"/>
        </w:numPr>
        <w:spacing w:after="240"/>
        <w:ind w:left="850" w:hanging="425"/>
        <w:contextualSpacing w:val="0"/>
        <w:jc w:val="both"/>
      </w:pPr>
      <w:r>
        <w:rPr>
          <w:rFonts w:cs="Arial"/>
          <w:b/>
        </w:rPr>
        <w:t>Kriterien für die Ausübung des Preisanpassungsrechts:</w:t>
      </w:r>
      <w:r>
        <w:t xml:space="preserve"> Das Preisanpassungsrecht darf </w:t>
      </w:r>
      <w:r w:rsidRPr="00FA7230">
        <w:t>nur</w:t>
      </w:r>
      <w:r w:rsidRPr="00B95068">
        <w:rPr>
          <w:b/>
        </w:rPr>
        <w:t xml:space="preserve"> nach billigem Ermessen </w:t>
      </w:r>
      <w:r w:rsidRPr="00FA7230">
        <w:t>ausgeübt werden.</w:t>
      </w:r>
      <w:r>
        <w:t xml:space="preserve"> Offenbar unbillig ist die Preisfestsetzung dann, wenn die Maßstäbe von Treu und Glauben grob vernachlässigt werden und die Unrichtigkeit der Preisfestsetzung einem sachkundigen und unbefangenen Beobachter sofort erkennbar ist. Eine unbillige Preisfestsetzung führt zwar nicht zur Unwirksamkeit der Klausel, aber der Kunde ist an den einseitig festgesetzten Preis nicht gebunden und kann seine nachträgliche Korrektur durch den Richter begehren (10 Ob 125/05p; 8 Ob 31/12k). Unbillig wäre es beispielsweise, Kostensteigerungen an den Kunden weiterzugeben, die der Unternehmer </w:t>
      </w:r>
      <w:r w:rsidRPr="00D624EA">
        <w:rPr>
          <w:b/>
        </w:rPr>
        <w:t>vorsätzlich oder sorglos selbst zu verantworten</w:t>
      </w:r>
      <w:r>
        <w:t xml:space="preserve"> hat.</w:t>
      </w:r>
      <w:r w:rsidRPr="00FA7230">
        <w:t xml:space="preserve"> </w:t>
      </w:r>
      <w:r>
        <w:t xml:space="preserve">Nach der Rechtsprechung zu Zinsanpassungsklauseln sollen überhaupt jegliche Veränderungen in der eigenen Sphäre keine Zinserhöhung rechtfertigen (6 Ob 68/14i; 10 Ob 80/15k). Jedenfalls </w:t>
      </w:r>
      <w:r w:rsidRPr="00FA7230">
        <w:t>sachlich gerechtfer</w:t>
      </w:r>
      <w:r w:rsidRPr="00FA7230">
        <w:lastRenderedPageBreak/>
        <w:t>tigt wären aber Preisanpassungen</w:t>
      </w:r>
      <w:r>
        <w:rPr>
          <w:b/>
        </w:rPr>
        <w:t xml:space="preserve"> </w:t>
      </w:r>
      <w:r w:rsidRPr="00FA7230">
        <w:t>an</w:t>
      </w:r>
      <w:r>
        <w:t xml:space="preserve"> Änderungen der rechtlichen Rahmenbedingungen sowie an Änderungen der Sach- und Personalkosten aus außerbetrieblichen Gründen.</w:t>
      </w:r>
    </w:p>
    <w:p w14:paraId="35B046CC" w14:textId="5676C36C" w:rsidR="00713109" w:rsidRPr="00F90790" w:rsidRDefault="00713109" w:rsidP="00713109">
      <w:pPr>
        <w:pStyle w:val="Listenabsatz"/>
        <w:numPr>
          <w:ilvl w:val="0"/>
          <w:numId w:val="10"/>
        </w:numPr>
        <w:spacing w:after="240"/>
        <w:ind w:left="850" w:hanging="425"/>
        <w:contextualSpacing w:val="0"/>
        <w:jc w:val="both"/>
      </w:pPr>
      <w:r w:rsidRPr="004021F4">
        <w:rPr>
          <w:b/>
        </w:rPr>
        <w:t>Einseitigkeit oder Zweiseitigkeit der Klausel:</w:t>
      </w:r>
      <w:r w:rsidRPr="004021F4">
        <w:t xml:space="preserve"> </w:t>
      </w:r>
      <w:r>
        <w:t xml:space="preserve">Wird die Klausel nicht im Einzelnen ausgehandelt, sondern in Vertragsformblättern oder in allgemeinen Geschäfts-/Vertragsbedingungen verwendet, ist eine </w:t>
      </w:r>
      <w:r w:rsidRPr="00F90790">
        <w:rPr>
          <w:i/>
        </w:rPr>
        <w:t>zweiseitige</w:t>
      </w:r>
      <w:r>
        <w:t xml:space="preserve"> Ausgestaltung notwendig</w:t>
      </w:r>
      <w:r w:rsidRPr="00D30C87">
        <w:rPr>
          <w:bCs/>
        </w:rPr>
        <w:t>,</w:t>
      </w:r>
      <w:r>
        <w:t xml:space="preserve"> um das Risiko des Einwandes der Unwirksamkeit nach § 879 Abs 3 ABGB auszuschalten (Zinsklauseln als Paradebeispiel für Preisanpassungsklauseln müssen zweiseitig sein: RIS-Justiz RS0120871; 10 Ob 125/05p). Wird die Klausel im Einzelnen ausgehandelt, ist es dagegen auch möglich, das Gestaltungsrecht zur Preisanpassung </w:t>
      </w:r>
      <w:r w:rsidRPr="00F90790">
        <w:rPr>
          <w:i/>
        </w:rPr>
        <w:t>einseitig</w:t>
      </w:r>
      <w:r>
        <w:t xml:space="preserve"> nur einer Vertragspartei einzuräumen</w:t>
      </w:r>
      <w:r w:rsidR="00D30C87">
        <w:t>.</w:t>
      </w:r>
      <w:r>
        <w:t xml:space="preserve"> Für das Im-Einzelnen-Aushandeln genügt nicht, dass sich die Klausel nicht in AGB findet, sondern </w:t>
      </w:r>
      <w:proofErr w:type="spellStart"/>
      <w:r>
        <w:t>zB</w:t>
      </w:r>
      <w:proofErr w:type="spellEnd"/>
      <w:r>
        <w:t xml:space="preserve"> in einer Auftragsbestätigung. Der Maßstab ist streng. Die Rechtsprechung verlangt, dass die Parteien über die konkrete Klausel gesprochen haben und dass ihr Verwender erkennbar dazu bereits gewesen wäre, auf sie zu verzichten (RIS-Justiz RS0121396).</w:t>
      </w:r>
    </w:p>
    <w:p w14:paraId="4698C21F" w14:textId="77777777" w:rsidR="00713109" w:rsidRPr="005F375F" w:rsidRDefault="00713109" w:rsidP="00713109">
      <w:pPr>
        <w:pStyle w:val="Listenabsatz"/>
        <w:numPr>
          <w:ilvl w:val="0"/>
          <w:numId w:val="10"/>
        </w:numPr>
        <w:spacing w:after="240"/>
        <w:ind w:left="850" w:hanging="425"/>
        <w:contextualSpacing w:val="0"/>
        <w:jc w:val="both"/>
      </w:pPr>
      <w:r>
        <w:rPr>
          <w:b/>
        </w:rPr>
        <w:t xml:space="preserve">Höhe des </w:t>
      </w:r>
      <w:r w:rsidRPr="005C6316">
        <w:rPr>
          <w:b/>
        </w:rPr>
        <w:t>Schwellenwert</w:t>
      </w:r>
      <w:r>
        <w:rPr>
          <w:b/>
        </w:rPr>
        <w:t>es</w:t>
      </w:r>
      <w:r w:rsidRPr="005C6316">
        <w:rPr>
          <w:b/>
        </w:rPr>
        <w:t>:</w:t>
      </w:r>
      <w:r>
        <w:rPr>
          <w:b/>
        </w:rPr>
        <w:t xml:space="preserve"> </w:t>
      </w:r>
      <w:r w:rsidRPr="00F90790">
        <w:t xml:space="preserve">Festzulegen ist, ab </w:t>
      </w:r>
      <w:r>
        <w:t>welchem (prozentuellen) Ausmaß an Kostenänderungen</w:t>
      </w:r>
      <w:r w:rsidRPr="00F90790">
        <w:t xml:space="preserve"> eine Preisanpassung erfolgen soll. </w:t>
      </w:r>
      <w:r>
        <w:t xml:space="preserve">2 % ist etwa der Schwellenwert, ab dem es in der Bauwirtschaft bei Vereinbarung </w:t>
      </w:r>
      <w:r w:rsidRPr="00503E53">
        <w:rPr>
          <w:i/>
        </w:rPr>
        <w:t>veränderliche</w:t>
      </w:r>
      <w:r>
        <w:rPr>
          <w:i/>
        </w:rPr>
        <w:t>r Preise</w:t>
      </w:r>
      <w:r>
        <w:t xml:space="preserve"> zu einer Preisanpassung gemäß ÖNORM B 2111 kommt. Sollen nur grobe Kostenschwankungen berücksichtigt werden, ist der Schwellenwert höher anzusetzen. Als durchaus erhebliche Kostenschwankung wurde in der Rechtsprechung beispielsweise eine Lohnsteigerung von 8 % angesehen </w:t>
      </w:r>
      <w:r>
        <w:rPr>
          <w:rFonts w:cs="Arial"/>
        </w:rPr>
        <w:t>(</w:t>
      </w:r>
      <w:r>
        <w:t>8</w:t>
      </w:r>
      <w:r>
        <w:rPr>
          <w:rFonts w:cs="Arial"/>
        </w:rPr>
        <w:t> </w:t>
      </w:r>
      <w:r>
        <w:t>Ob 164/99x, wo allerdings ohnedies veränderliche Preise vereinbart waren). Nach § 8 Abs 3 EO bleiben Indexänderungen bis zu einem Schwellwert von 10 % außer Betracht.</w:t>
      </w:r>
    </w:p>
    <w:p w14:paraId="6D5BFA13" w14:textId="77777777" w:rsidR="00713109" w:rsidRDefault="00713109" w:rsidP="00713109">
      <w:pPr>
        <w:pStyle w:val="Listenabsatz"/>
        <w:numPr>
          <w:ilvl w:val="0"/>
          <w:numId w:val="10"/>
        </w:numPr>
        <w:spacing w:after="240"/>
        <w:ind w:left="850" w:hanging="425"/>
        <w:contextualSpacing w:val="0"/>
        <w:jc w:val="both"/>
      </w:pPr>
      <w:r>
        <w:rPr>
          <w:b/>
        </w:rPr>
        <w:t xml:space="preserve">Anwendung des </w:t>
      </w:r>
      <w:r w:rsidRPr="005C6316">
        <w:rPr>
          <w:b/>
        </w:rPr>
        <w:t>Schwellenwert</w:t>
      </w:r>
      <w:r>
        <w:rPr>
          <w:b/>
        </w:rPr>
        <w:t>es</w:t>
      </w:r>
      <w:r w:rsidRPr="005C6316">
        <w:rPr>
          <w:b/>
        </w:rPr>
        <w:t>:</w:t>
      </w:r>
      <w:r>
        <w:rPr>
          <w:b/>
        </w:rPr>
        <w:t xml:space="preserve"> </w:t>
      </w:r>
      <w:r>
        <w:t xml:space="preserve">Der Schwellenwert bezieht sich nach der Formulierung des Mustertextes stets auf die </w:t>
      </w:r>
      <w:r w:rsidRPr="005C6316">
        <w:rPr>
          <w:b/>
        </w:rPr>
        <w:t>Summe</w:t>
      </w:r>
      <w:r>
        <w:t xml:space="preserve"> aller dem betreffenden Preis kalkulatorisch zugrundeliegenden Kosten; es ist daher eine Gesamtbetrachtung anzustellen, bei der Änderungen des einen Kalkulationsfaktors (</w:t>
      </w:r>
      <w:proofErr w:type="spellStart"/>
      <w:r>
        <w:t>zB</w:t>
      </w:r>
      <w:proofErr w:type="spellEnd"/>
      <w:r>
        <w:t xml:space="preserve"> Erhöhung der Löhne) durch Änderungen des anderen</w:t>
      </w:r>
      <w:r w:rsidRPr="00E05BDF">
        <w:t xml:space="preserve"> </w:t>
      </w:r>
      <w:r>
        <w:t>Kalkulationsfaktors (</w:t>
      </w:r>
      <w:proofErr w:type="spellStart"/>
      <w:r>
        <w:t>zB</w:t>
      </w:r>
      <w:proofErr w:type="spellEnd"/>
      <w:r>
        <w:t xml:space="preserve"> Sinken der Materialkosten) ausgeglichen werden können.</w:t>
      </w:r>
    </w:p>
    <w:p w14:paraId="24731D38" w14:textId="77777777" w:rsidR="00713109" w:rsidRDefault="00713109" w:rsidP="00CB0F04">
      <w:pPr>
        <w:pStyle w:val="Listenabsatz"/>
        <w:spacing w:after="240" w:line="276" w:lineRule="auto"/>
        <w:ind w:left="425"/>
        <w:contextualSpacing w:val="0"/>
        <w:jc w:val="both"/>
      </w:pPr>
    </w:p>
    <w:sectPr w:rsidR="00713109" w:rsidSect="001A2188">
      <w:headerReference w:type="default" r:id="rId8"/>
      <w:headerReference w:type="first" r:id="rId9"/>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EB08" w14:textId="77777777" w:rsidR="005E1554" w:rsidRDefault="005E1554" w:rsidP="00BD09B0">
      <w:pPr>
        <w:spacing w:line="240" w:lineRule="auto"/>
      </w:pPr>
      <w:r>
        <w:separator/>
      </w:r>
    </w:p>
  </w:endnote>
  <w:endnote w:type="continuationSeparator" w:id="0">
    <w:p w14:paraId="7EE7D7ED" w14:textId="77777777" w:rsidR="005E1554" w:rsidRDefault="005E1554" w:rsidP="00BD0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53ED" w14:textId="77777777" w:rsidR="005E1554" w:rsidRDefault="005E1554" w:rsidP="00BD09B0">
      <w:pPr>
        <w:spacing w:line="240" w:lineRule="auto"/>
      </w:pPr>
      <w:r>
        <w:separator/>
      </w:r>
    </w:p>
  </w:footnote>
  <w:footnote w:type="continuationSeparator" w:id="0">
    <w:p w14:paraId="3696D9F1" w14:textId="77777777" w:rsidR="005E1554" w:rsidRDefault="005E1554" w:rsidP="00BD09B0">
      <w:pPr>
        <w:spacing w:line="240" w:lineRule="auto"/>
      </w:pPr>
      <w:r>
        <w:continuationSeparator/>
      </w:r>
    </w:p>
  </w:footnote>
  <w:footnote w:id="1">
    <w:p w14:paraId="5AB1A9FC" w14:textId="22DF0700" w:rsidR="00A21F57" w:rsidRDefault="00A21F57" w:rsidP="00CB0F04">
      <w:pPr>
        <w:pStyle w:val="Funotentext"/>
        <w:tabs>
          <w:tab w:val="left" w:pos="567"/>
        </w:tabs>
        <w:ind w:left="567" w:hanging="567"/>
      </w:pPr>
      <w:r>
        <w:rPr>
          <w:rStyle w:val="Funotenzeichen"/>
        </w:rPr>
        <w:footnoteRef/>
      </w:r>
      <w:r>
        <w:t xml:space="preserve"> </w:t>
      </w:r>
      <w:r w:rsidR="00ED2710">
        <w:tab/>
      </w:r>
      <w:r>
        <w:t>Hier ist der sachlich jeweils am besten passende Index einzufügen.</w:t>
      </w:r>
    </w:p>
  </w:footnote>
  <w:footnote w:id="2">
    <w:p w14:paraId="29772519" w14:textId="702938E8" w:rsidR="00A21F57" w:rsidRDefault="00A21F57" w:rsidP="00CB0F04">
      <w:pPr>
        <w:pStyle w:val="Funotentext"/>
        <w:tabs>
          <w:tab w:val="left" w:pos="567"/>
        </w:tabs>
        <w:ind w:left="567" w:hanging="567"/>
      </w:pPr>
      <w:r>
        <w:rPr>
          <w:rStyle w:val="Funotenzeichen"/>
        </w:rPr>
        <w:footnoteRef/>
      </w:r>
      <w:r>
        <w:t xml:space="preserve"> </w:t>
      </w:r>
      <w:r w:rsidR="00ED2710">
        <w:tab/>
      </w:r>
      <w:r>
        <w:t xml:space="preserve">Siehe Fußnote </w:t>
      </w:r>
      <w:r w:rsidRPr="008074FB">
        <w:rPr>
          <w:rStyle w:val="Funotenzeichen"/>
        </w:rPr>
        <w:fldChar w:fldCharType="begin"/>
      </w:r>
      <w:r w:rsidRPr="008074FB">
        <w:rPr>
          <w:rStyle w:val="Funotenzeichen"/>
        </w:rPr>
        <w:instrText xml:space="preserve"> NOTEREF _Ref74425218 \h </w:instrText>
      </w:r>
      <w:r w:rsidR="008074FB">
        <w:rPr>
          <w:rStyle w:val="Funotenzeichen"/>
        </w:rPr>
        <w:instrText xml:space="preserve"> \* MERGEFORMAT </w:instrText>
      </w:r>
      <w:r w:rsidRPr="008074FB">
        <w:rPr>
          <w:rStyle w:val="Funotenzeichen"/>
        </w:rPr>
      </w:r>
      <w:r w:rsidRPr="008074FB">
        <w:rPr>
          <w:rStyle w:val="Funotenzeichen"/>
        </w:rPr>
        <w:fldChar w:fldCharType="separate"/>
      </w:r>
      <w:r w:rsidRPr="008074FB">
        <w:rPr>
          <w:rStyle w:val="Funotenzeichen"/>
        </w:rPr>
        <w:t>1</w:t>
      </w:r>
      <w:r w:rsidRPr="008074FB">
        <w:rPr>
          <w:rStyle w:val="Funotenzeichen"/>
        </w:rPr>
        <w:fldChar w:fldCharType="end"/>
      </w:r>
      <w:r>
        <w:t>.</w:t>
      </w:r>
    </w:p>
  </w:footnote>
  <w:footnote w:id="3">
    <w:p w14:paraId="1853FBA4" w14:textId="5A05C0FB" w:rsidR="00A21F57" w:rsidRDefault="00A21F57" w:rsidP="00CB0F04">
      <w:pPr>
        <w:pStyle w:val="Funotentext"/>
        <w:tabs>
          <w:tab w:val="left" w:pos="567"/>
        </w:tabs>
        <w:ind w:left="567" w:hanging="567"/>
      </w:pPr>
      <w:r>
        <w:rPr>
          <w:rStyle w:val="Funotenzeichen"/>
        </w:rPr>
        <w:footnoteRef/>
      </w:r>
      <w:r>
        <w:t xml:space="preserve"> </w:t>
      </w:r>
      <w:r w:rsidR="00ED2710">
        <w:tab/>
      </w:r>
      <w:r w:rsidR="00AF33F2">
        <w:t>Wenn die Klausel im Einzelnen ausgehandelt wird,</w:t>
      </w:r>
      <w:r>
        <w:t xml:space="preserve"> kann dieses Recht auch nur einer Vertragspartei eingeräumt werden. Der Text wäre dann an dieser Stelle entsprechend zu adaptieren (</w:t>
      </w:r>
      <w:proofErr w:type="spellStart"/>
      <w:r>
        <w:t>zB</w:t>
      </w:r>
      <w:proofErr w:type="spellEnd"/>
      <w:r>
        <w:t xml:space="preserve"> </w:t>
      </w:r>
      <w:r w:rsidRPr="00A21F57">
        <w:rPr>
          <w:i/>
        </w:rPr>
        <w:t>„der Auftragnehmer“</w:t>
      </w:r>
      <w:r>
        <w:t>).</w:t>
      </w:r>
    </w:p>
  </w:footnote>
  <w:footnote w:id="4">
    <w:p w14:paraId="0DFB3654" w14:textId="77777777" w:rsidR="0061523B" w:rsidRDefault="0061523B" w:rsidP="0061523B">
      <w:pPr>
        <w:pStyle w:val="Funotentext"/>
        <w:tabs>
          <w:tab w:val="left" w:pos="567"/>
        </w:tabs>
        <w:ind w:left="567" w:hanging="567"/>
      </w:pPr>
      <w:r>
        <w:rPr>
          <w:rStyle w:val="Funotenzeichen"/>
        </w:rPr>
        <w:footnoteRef/>
      </w:r>
      <w:r>
        <w:t xml:space="preserve"> </w:t>
      </w:r>
      <w:r>
        <w:tab/>
        <w:t xml:space="preserve">Schwellenwert einzusetzen, siehe Hinweis </w:t>
      </w:r>
      <w:proofErr w:type="spellStart"/>
      <w:r>
        <w:t>Nr</w:t>
      </w:r>
      <w:proofErr w:type="spellEnd"/>
      <w:r>
        <w:t> </w:t>
      </w:r>
      <w:r>
        <w:fldChar w:fldCharType="begin"/>
      </w:r>
      <w:r>
        <w:instrText xml:space="preserve"> REF _Ref75445559 \r \h </w:instrText>
      </w:r>
      <w:r>
        <w:fldChar w:fldCharType="separate"/>
      </w:r>
      <w:r>
        <w:t>3</w:t>
      </w:r>
      <w:r>
        <w:fldChar w:fldCharType="end"/>
      </w:r>
      <w:r>
        <w:t>.</w:t>
      </w:r>
    </w:p>
  </w:footnote>
  <w:footnote w:id="5">
    <w:p w14:paraId="78E19873" w14:textId="427515D6" w:rsidR="00EF7695" w:rsidRPr="00816AFE" w:rsidRDefault="00EF7695" w:rsidP="00EF7695">
      <w:pPr>
        <w:pStyle w:val="Funotentext"/>
        <w:ind w:left="426" w:hanging="426"/>
        <w:jc w:val="both"/>
        <w:rPr>
          <w:lang w:val="de-DE"/>
        </w:rPr>
      </w:pPr>
      <w:r>
        <w:rPr>
          <w:rStyle w:val="Funotenzeichen"/>
        </w:rPr>
        <w:footnoteRef/>
      </w:r>
      <w:r>
        <w:t xml:space="preserve"> </w:t>
      </w:r>
      <w:r>
        <w:tab/>
        <w:t>Falls zur Konkretisierung des Index nötig, ist hier</w:t>
      </w:r>
      <w:r w:rsidRPr="00816AFE">
        <w:rPr>
          <w:rFonts w:cs="Arial"/>
        </w:rPr>
        <w:t xml:space="preserve"> </w:t>
      </w:r>
      <w:r>
        <w:rPr>
          <w:rFonts w:cs="Arial"/>
        </w:rPr>
        <w:t xml:space="preserve">die </w:t>
      </w:r>
      <w:r w:rsidRPr="00CE45A0">
        <w:rPr>
          <w:rFonts w:cs="Arial"/>
          <w:b/>
        </w:rPr>
        <w:t>Stelle</w:t>
      </w:r>
      <w:r>
        <w:rPr>
          <w:rFonts w:cs="Arial"/>
        </w:rPr>
        <w:t xml:space="preserve"> zu benennen, die den Index veröffentlicht (</w:t>
      </w:r>
      <w:proofErr w:type="spellStart"/>
      <w:r>
        <w:rPr>
          <w:rFonts w:cs="Arial"/>
        </w:rPr>
        <w:t>zB</w:t>
      </w:r>
      <w:proofErr w:type="spellEnd"/>
      <w:r>
        <w:rPr>
          <w:rFonts w:cs="Arial"/>
        </w:rPr>
        <w:t xml:space="preserve"> </w:t>
      </w:r>
      <w:r w:rsidRPr="00C46269">
        <w:rPr>
          <w:rFonts w:cs="Arial"/>
          <w:i/>
        </w:rPr>
        <w:t>„Statistik Austria (Bundesanstalt Statistik Österreich)</w:t>
      </w:r>
      <w:r w:rsidRPr="00C46269">
        <w:rPr>
          <w:i/>
        </w:rPr>
        <w:t>“</w:t>
      </w:r>
      <w:r>
        <w:t xml:space="preserve">). Diese Stelle soll von den Parteien unabhängig sein; siehe Hinweis </w:t>
      </w:r>
      <w:r w:rsidR="00CB28EC">
        <w:t>5</w:t>
      </w:r>
      <w:r>
        <w:t>.</w:t>
      </w:r>
    </w:p>
  </w:footnote>
  <w:footnote w:id="6">
    <w:p w14:paraId="01A25B1C" w14:textId="6F99B83A" w:rsidR="00EF7695" w:rsidRPr="00816AFE" w:rsidRDefault="00EF7695" w:rsidP="00EF7695">
      <w:pPr>
        <w:pStyle w:val="Funotentext"/>
        <w:ind w:left="426" w:hanging="426"/>
        <w:jc w:val="both"/>
        <w:rPr>
          <w:lang w:val="de-DE"/>
        </w:rPr>
      </w:pPr>
      <w:r>
        <w:rPr>
          <w:rStyle w:val="Funotenzeichen"/>
        </w:rPr>
        <w:footnoteRef/>
      </w:r>
      <w:r>
        <w:t xml:space="preserve"> </w:t>
      </w:r>
      <w:r>
        <w:tab/>
      </w:r>
      <w:r w:rsidRPr="00816AFE">
        <w:rPr>
          <w:rFonts w:cs="Arial"/>
        </w:rPr>
        <w:t xml:space="preserve">Hier ist </w:t>
      </w:r>
      <w:r>
        <w:rPr>
          <w:rFonts w:cs="Arial"/>
        </w:rPr>
        <w:t xml:space="preserve">der </w:t>
      </w:r>
      <w:r w:rsidRPr="00CE45A0">
        <w:rPr>
          <w:rFonts w:cs="Arial"/>
          <w:b/>
        </w:rPr>
        <w:t>Index</w:t>
      </w:r>
      <w:r>
        <w:rPr>
          <w:rFonts w:cs="Arial"/>
        </w:rPr>
        <w:t xml:space="preserve"> zu benennen, an dessen Veränderungen die Preise angepasst werden sollen (</w:t>
      </w:r>
      <w:proofErr w:type="spellStart"/>
      <w:r>
        <w:rPr>
          <w:rFonts w:cs="Arial"/>
        </w:rPr>
        <w:t>zB</w:t>
      </w:r>
      <w:proofErr w:type="spellEnd"/>
      <w:r>
        <w:rPr>
          <w:rFonts w:cs="Arial"/>
        </w:rPr>
        <w:t xml:space="preserve"> </w:t>
      </w:r>
      <w:r w:rsidRPr="00C46269">
        <w:rPr>
          <w:rFonts w:cs="Arial"/>
          <w:i/>
        </w:rPr>
        <w:t>„</w:t>
      </w:r>
      <w:r w:rsidRPr="00C46269">
        <w:rPr>
          <w:i/>
        </w:rPr>
        <w:t>Baukostenindex für den Wohnhaus- und Siedlungsbau, Basisjahr 2020“</w:t>
      </w:r>
      <w:r>
        <w:t>);</w:t>
      </w:r>
      <w:r>
        <w:rPr>
          <w:i/>
        </w:rPr>
        <w:t xml:space="preserve"> </w:t>
      </w:r>
      <w:r>
        <w:t xml:space="preserve">siehe Hinweis </w:t>
      </w:r>
      <w:r w:rsidR="00CB28EC">
        <w:t>5</w:t>
      </w:r>
      <w:r>
        <w:t>.</w:t>
      </w:r>
    </w:p>
  </w:footnote>
  <w:footnote w:id="7">
    <w:p w14:paraId="4C8DE0DE" w14:textId="77777777" w:rsidR="00EF7695" w:rsidRPr="00816AFE" w:rsidRDefault="00EF7695" w:rsidP="00EF7695">
      <w:pPr>
        <w:pStyle w:val="Funotentext"/>
        <w:ind w:left="426" w:hanging="426"/>
        <w:jc w:val="both"/>
        <w:rPr>
          <w:lang w:val="de-DE"/>
        </w:rPr>
      </w:pPr>
      <w:r>
        <w:rPr>
          <w:rStyle w:val="Funotenzeichen"/>
        </w:rPr>
        <w:footnoteRef/>
      </w:r>
      <w:r>
        <w:t xml:space="preserve"> </w:t>
      </w:r>
      <w:r>
        <w:tab/>
        <w:t>Falls zur Konkretisierung des Index nötig, ist</w:t>
      </w:r>
      <w:r>
        <w:rPr>
          <w:rFonts w:cs="Arial"/>
        </w:rPr>
        <w:t xml:space="preserve"> hier die </w:t>
      </w:r>
      <w:r>
        <w:rPr>
          <w:rFonts w:cs="Arial"/>
          <w:b/>
        </w:rPr>
        <w:t>Fundstelle</w:t>
      </w:r>
      <w:r>
        <w:rPr>
          <w:rFonts w:cs="Arial"/>
        </w:rPr>
        <w:t xml:space="preserve"> zu benennen, an welcher die Indexzahlen zu finden sind. Bei Fundstellen im Internet empfiehlt sich, statt eines bloßen Verweises auf die Website (</w:t>
      </w:r>
      <w:proofErr w:type="spellStart"/>
      <w:r>
        <w:rPr>
          <w:rFonts w:cs="Arial"/>
        </w:rPr>
        <w:t>zB</w:t>
      </w:r>
      <w:proofErr w:type="spellEnd"/>
      <w:r>
        <w:rPr>
          <w:rFonts w:cs="Arial"/>
        </w:rPr>
        <w:t xml:space="preserve"> </w:t>
      </w:r>
      <w:r w:rsidRPr="00C46269">
        <w:rPr>
          <w:rFonts w:cs="Arial"/>
          <w:i/>
        </w:rPr>
        <w:t>„</w:t>
      </w:r>
      <w:r w:rsidRPr="00C46269">
        <w:rPr>
          <w:i/>
        </w:rPr>
        <w:t>http://www.statistik.at</w:t>
      </w:r>
      <w:r w:rsidRPr="00C46269">
        <w:rPr>
          <w:rFonts w:cs="Arial"/>
          <w:i/>
        </w:rPr>
        <w:t>“</w:t>
      </w:r>
      <w:r w:rsidRPr="00C46269">
        <w:rPr>
          <w:rFonts w:cs="Arial"/>
        </w:rPr>
        <w:t xml:space="preserve">) </w:t>
      </w:r>
      <w:r>
        <w:rPr>
          <w:rFonts w:cs="Arial"/>
        </w:rPr>
        <w:t>die</w:t>
      </w:r>
      <w:r w:rsidRPr="00C46269">
        <w:rPr>
          <w:rFonts w:cs="Arial"/>
        </w:rPr>
        <w:t xml:space="preserve"> konkrete URL anzugeben (zB </w:t>
      </w:r>
      <w:r w:rsidRPr="00C46269">
        <w:rPr>
          <w:rFonts w:cs="Arial"/>
          <w:i/>
        </w:rPr>
        <w:t>„</w:t>
      </w:r>
      <w:r w:rsidRPr="00C46269">
        <w:rPr>
          <w:i/>
        </w:rPr>
        <w:t>http://www.statistik.at/web_de/statistiken/wirtschaft/preise/baukostenindex/023119.html“</w:t>
      </w:r>
      <w:r>
        <w:t>)</w:t>
      </w:r>
      <w:r w:rsidRPr="00816AFE">
        <w:t>.</w:t>
      </w:r>
      <w:r>
        <w:rPr>
          <w:i/>
        </w:rPr>
        <w:t xml:space="preserve"> </w:t>
      </w:r>
    </w:p>
  </w:footnote>
  <w:footnote w:id="8">
    <w:p w14:paraId="79F8781E" w14:textId="2183023B" w:rsidR="00EF7695" w:rsidRPr="00BC011F" w:rsidRDefault="00EF7695" w:rsidP="00EF7695">
      <w:pPr>
        <w:pStyle w:val="Funotentext"/>
        <w:ind w:left="426" w:hanging="426"/>
        <w:jc w:val="both"/>
      </w:pPr>
      <w:r>
        <w:rPr>
          <w:rStyle w:val="Funotenzeichen"/>
        </w:rPr>
        <w:footnoteRef/>
      </w:r>
      <w:r>
        <w:t xml:space="preserve"> </w:t>
      </w:r>
      <w:r>
        <w:tab/>
      </w:r>
      <w:r w:rsidRPr="00816AFE">
        <w:rPr>
          <w:rFonts w:cs="Arial"/>
        </w:rPr>
        <w:t xml:space="preserve">Hier ist </w:t>
      </w:r>
      <w:r>
        <w:rPr>
          <w:rFonts w:cs="Arial"/>
        </w:rPr>
        <w:t xml:space="preserve">der </w:t>
      </w:r>
      <w:r w:rsidRPr="00BA7707">
        <w:rPr>
          <w:rFonts w:cs="Arial"/>
          <w:b/>
        </w:rPr>
        <w:t>prozentuelle Anteil</w:t>
      </w:r>
      <w:r>
        <w:rPr>
          <w:rFonts w:cs="Arial"/>
        </w:rPr>
        <w:t xml:space="preserve"> zu benennen, zu dem Veränderungen des gewählten Index auf die vereinbarten Preise durchschlagen sollen. Dieser Anteil sollte annähernd dem Anteil entsprechen, mit dem der vom Index abgebildete Kostenfaktor in die Preiskalkulation eingeflossen ist</w:t>
      </w:r>
      <w:r>
        <w:t xml:space="preserve">; siehe Hinweis </w:t>
      </w:r>
      <w:r w:rsidR="0062552A">
        <w:t>5</w:t>
      </w:r>
      <w:r>
        <w:rPr>
          <w:rFonts w:cs="Arial"/>
        </w:rPr>
        <w:t>. Wird etwa der Preis des Produktes zu 40 % vom Stahlpreis bestimmt, wäre er mit einem Preisanteil von 40 % nach dem betreffenden Stahlpreisindex wertzusichern.</w:t>
      </w:r>
    </w:p>
  </w:footnote>
  <w:footnote w:id="9">
    <w:p w14:paraId="4C25098A" w14:textId="39F9492E" w:rsidR="00EF7695" w:rsidRPr="00816AFE" w:rsidRDefault="00EF7695" w:rsidP="00EF7695">
      <w:pPr>
        <w:pStyle w:val="Funotentext"/>
        <w:ind w:left="426" w:hanging="426"/>
        <w:jc w:val="both"/>
        <w:rPr>
          <w:lang w:val="de-DE"/>
        </w:rPr>
      </w:pPr>
      <w:r>
        <w:rPr>
          <w:rStyle w:val="Funotenzeichen"/>
        </w:rPr>
        <w:footnoteRef/>
      </w:r>
      <w:r>
        <w:t xml:space="preserve"> </w:t>
      </w:r>
      <w:r>
        <w:tab/>
        <w:t xml:space="preserve">Siehe Fußnote </w:t>
      </w:r>
      <w:r w:rsidR="0062552A">
        <w:fldChar w:fldCharType="begin"/>
      </w:r>
      <w:r w:rsidR="0062552A">
        <w:instrText xml:space="preserve"> NOTEREF _Ref75450023 \h </w:instrText>
      </w:r>
      <w:r w:rsidR="0062552A">
        <w:fldChar w:fldCharType="separate"/>
      </w:r>
      <w:r w:rsidR="0062552A">
        <w:t>5</w:t>
      </w:r>
      <w:r w:rsidR="0062552A">
        <w:fldChar w:fldCharType="end"/>
      </w:r>
      <w:r>
        <w:t>.</w:t>
      </w:r>
    </w:p>
  </w:footnote>
  <w:footnote w:id="10">
    <w:p w14:paraId="43EBC9AD" w14:textId="2B7948F2" w:rsidR="00EF7695" w:rsidRPr="00816AFE" w:rsidRDefault="00EF7695" w:rsidP="00EF7695">
      <w:pPr>
        <w:pStyle w:val="Funotentext"/>
        <w:ind w:left="426" w:hanging="426"/>
        <w:jc w:val="both"/>
        <w:rPr>
          <w:lang w:val="de-DE"/>
        </w:rPr>
      </w:pPr>
      <w:r>
        <w:rPr>
          <w:rStyle w:val="Funotenzeichen"/>
        </w:rPr>
        <w:footnoteRef/>
      </w:r>
      <w:r>
        <w:t xml:space="preserve"> </w:t>
      </w:r>
      <w:r>
        <w:tab/>
        <w:t xml:space="preserve">Siehe Fußnote </w:t>
      </w:r>
      <w:r w:rsidR="0062552A">
        <w:fldChar w:fldCharType="begin"/>
      </w:r>
      <w:r w:rsidR="0062552A">
        <w:instrText xml:space="preserve"> NOTEREF _Ref75451712 \h </w:instrText>
      </w:r>
      <w:r w:rsidR="0062552A">
        <w:fldChar w:fldCharType="separate"/>
      </w:r>
      <w:r w:rsidR="0062552A">
        <w:t>6</w:t>
      </w:r>
      <w:r w:rsidR="0062552A">
        <w:fldChar w:fldCharType="end"/>
      </w:r>
      <w:r>
        <w:t>.</w:t>
      </w:r>
      <w:r w:rsidR="003A5A90">
        <w:t xml:space="preserve"> Hier werden überwiegend Kosten-Indizes einzelner Materialien relevant sein.</w:t>
      </w:r>
    </w:p>
  </w:footnote>
  <w:footnote w:id="11">
    <w:p w14:paraId="47A4C3D2" w14:textId="66F04095" w:rsidR="00EF7695" w:rsidRPr="00816AFE" w:rsidRDefault="00EF7695" w:rsidP="00EF7695">
      <w:pPr>
        <w:pStyle w:val="Funotentext"/>
        <w:ind w:left="426" w:hanging="426"/>
        <w:jc w:val="both"/>
        <w:rPr>
          <w:lang w:val="de-DE"/>
        </w:rPr>
      </w:pPr>
      <w:r>
        <w:rPr>
          <w:rStyle w:val="Funotenzeichen"/>
        </w:rPr>
        <w:footnoteRef/>
      </w:r>
      <w:r>
        <w:t xml:space="preserve"> </w:t>
      </w:r>
      <w:r>
        <w:tab/>
        <w:t xml:space="preserve">Siehe Fußnote </w:t>
      </w:r>
      <w:r w:rsidR="0062552A">
        <w:fldChar w:fldCharType="begin"/>
      </w:r>
      <w:r w:rsidR="0062552A">
        <w:instrText xml:space="preserve"> NOTEREF _Ref75451725 \h </w:instrText>
      </w:r>
      <w:r w:rsidR="0062552A">
        <w:fldChar w:fldCharType="separate"/>
      </w:r>
      <w:r w:rsidR="0062552A">
        <w:t>7</w:t>
      </w:r>
      <w:r w:rsidR="0062552A">
        <w:fldChar w:fldCharType="end"/>
      </w:r>
      <w:r w:rsidRPr="00816AFE">
        <w:t>.</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E96F" w14:textId="3B5B8151" w:rsidR="002C7DA4" w:rsidRPr="008C0B8E" w:rsidRDefault="008C0B8E" w:rsidP="008C0B8E">
    <w:pPr>
      <w:pStyle w:val="Kopfzeile"/>
    </w:pPr>
    <w:r w:rsidRPr="008C0B8E">
      <w:rPr>
        <w:b/>
        <w:bCs/>
        <w:color w:val="808080" w:themeColor="background1" w:themeShade="80"/>
      </w:rPr>
      <w:t>Dieses Muster stellt die Fachorganisation/Wirtschaftskammer Österreich zur freiwilligen Nutzung zur Verfügung. Dessen Verwendung ist daher nicht verpflichtend und die Entscheidung hierüber liegt alleine bei den Mitgliedsunternehmen.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DB89" w14:textId="77777777" w:rsidR="002C7DA4" w:rsidRDefault="002C7DA4" w:rsidP="002C7DA4">
    <w:pPr>
      <w:pStyle w:val="Kopfzeile"/>
    </w:pPr>
    <w:r>
      <w:rPr>
        <w:b/>
        <w:bCs/>
      </w:rPr>
      <w:t>Dieses Muster stellt die Fachorganisation/Wirtschaftskammer Österreich zur freiwilligen Nutzung zur Verfügung!</w:t>
    </w:r>
  </w:p>
  <w:p w14:paraId="2D8A8C0A" w14:textId="77777777" w:rsidR="002C7DA4" w:rsidRDefault="002C7D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EA4"/>
    <w:multiLevelType w:val="hybridMultilevel"/>
    <w:tmpl w:val="4E2696E0"/>
    <w:lvl w:ilvl="0" w:tplc="19D8F0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987BAA"/>
    <w:multiLevelType w:val="hybridMultilevel"/>
    <w:tmpl w:val="44A0FAF2"/>
    <w:lvl w:ilvl="0" w:tplc="079C301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89B26D3"/>
    <w:multiLevelType w:val="multilevel"/>
    <w:tmpl w:val="87C04E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F62EF5"/>
    <w:multiLevelType w:val="hybridMultilevel"/>
    <w:tmpl w:val="032AA4AC"/>
    <w:lvl w:ilvl="0" w:tplc="B4C0C7F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B76723"/>
    <w:multiLevelType w:val="hybridMultilevel"/>
    <w:tmpl w:val="08AE7B1A"/>
    <w:lvl w:ilvl="0" w:tplc="0C07000B">
      <w:start w:val="1"/>
      <w:numFmt w:val="bullet"/>
      <w:lvlText w:val=""/>
      <w:lvlJc w:val="left"/>
      <w:pPr>
        <w:ind w:left="1145" w:hanging="360"/>
      </w:pPr>
      <w:rPr>
        <w:rFonts w:ascii="Wingdings" w:hAnsi="Wingdings"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5" w15:restartNumberingAfterBreak="0">
    <w:nsid w:val="46740B91"/>
    <w:multiLevelType w:val="hybridMultilevel"/>
    <w:tmpl w:val="2D986DF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4F2F0D6B"/>
    <w:multiLevelType w:val="hybridMultilevel"/>
    <w:tmpl w:val="DB669A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A108DC"/>
    <w:multiLevelType w:val="hybridMultilevel"/>
    <w:tmpl w:val="20B2AC2E"/>
    <w:lvl w:ilvl="0" w:tplc="7C08D7B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171572D"/>
    <w:multiLevelType w:val="hybridMultilevel"/>
    <w:tmpl w:val="28F4A2DA"/>
    <w:lvl w:ilvl="0" w:tplc="079C301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84549D5"/>
    <w:multiLevelType w:val="hybridMultilevel"/>
    <w:tmpl w:val="45B6BF5C"/>
    <w:lvl w:ilvl="0" w:tplc="19D8F0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9131027"/>
    <w:multiLevelType w:val="hybridMultilevel"/>
    <w:tmpl w:val="9ABCA472"/>
    <w:lvl w:ilvl="0" w:tplc="0C07000B">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8"/>
  </w:num>
  <w:num w:numId="7">
    <w:abstractNumId w:val="5"/>
  </w:num>
  <w:num w:numId="8">
    <w:abstractNumId w:val="9"/>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2E"/>
    <w:rsid w:val="0008096F"/>
    <w:rsid w:val="000B020E"/>
    <w:rsid w:val="000B09C6"/>
    <w:rsid w:val="00113327"/>
    <w:rsid w:val="00124974"/>
    <w:rsid w:val="0019762A"/>
    <w:rsid w:val="001A2188"/>
    <w:rsid w:val="0024673D"/>
    <w:rsid w:val="002937F7"/>
    <w:rsid w:val="002B27BA"/>
    <w:rsid w:val="002C7DA4"/>
    <w:rsid w:val="002D4417"/>
    <w:rsid w:val="003538D4"/>
    <w:rsid w:val="00362156"/>
    <w:rsid w:val="00396D56"/>
    <w:rsid w:val="003A5A90"/>
    <w:rsid w:val="00410A7A"/>
    <w:rsid w:val="00433DD1"/>
    <w:rsid w:val="004F11B8"/>
    <w:rsid w:val="00503E53"/>
    <w:rsid w:val="00530725"/>
    <w:rsid w:val="00557BB6"/>
    <w:rsid w:val="005B3081"/>
    <w:rsid w:val="005B4806"/>
    <w:rsid w:val="005D0397"/>
    <w:rsid w:val="005E1554"/>
    <w:rsid w:val="005F5871"/>
    <w:rsid w:val="0061523B"/>
    <w:rsid w:val="0062552A"/>
    <w:rsid w:val="006907FD"/>
    <w:rsid w:val="00692760"/>
    <w:rsid w:val="006D3155"/>
    <w:rsid w:val="006E322C"/>
    <w:rsid w:val="00713109"/>
    <w:rsid w:val="0072322F"/>
    <w:rsid w:val="00762E2E"/>
    <w:rsid w:val="007649C8"/>
    <w:rsid w:val="007F5970"/>
    <w:rsid w:val="008074FB"/>
    <w:rsid w:val="00875B88"/>
    <w:rsid w:val="00886447"/>
    <w:rsid w:val="00891029"/>
    <w:rsid w:val="00895D92"/>
    <w:rsid w:val="008C0B8E"/>
    <w:rsid w:val="008D0A15"/>
    <w:rsid w:val="008D1AE4"/>
    <w:rsid w:val="00901C2F"/>
    <w:rsid w:val="009124C0"/>
    <w:rsid w:val="00921A2E"/>
    <w:rsid w:val="00932C1C"/>
    <w:rsid w:val="00950F9B"/>
    <w:rsid w:val="00963051"/>
    <w:rsid w:val="009E7A8E"/>
    <w:rsid w:val="00A21F57"/>
    <w:rsid w:val="00AA06CE"/>
    <w:rsid w:val="00AA2E0D"/>
    <w:rsid w:val="00AC50D8"/>
    <w:rsid w:val="00AE30FC"/>
    <w:rsid w:val="00AF33F2"/>
    <w:rsid w:val="00B70ECF"/>
    <w:rsid w:val="00B90532"/>
    <w:rsid w:val="00BD09B0"/>
    <w:rsid w:val="00BD3268"/>
    <w:rsid w:val="00C01F25"/>
    <w:rsid w:val="00C975CA"/>
    <w:rsid w:val="00CA5764"/>
    <w:rsid w:val="00CB0F04"/>
    <w:rsid w:val="00CB28EC"/>
    <w:rsid w:val="00CC4E2F"/>
    <w:rsid w:val="00CD3C18"/>
    <w:rsid w:val="00CE1A7A"/>
    <w:rsid w:val="00D211EF"/>
    <w:rsid w:val="00D22DBD"/>
    <w:rsid w:val="00D27B6B"/>
    <w:rsid w:val="00D30C87"/>
    <w:rsid w:val="00D63723"/>
    <w:rsid w:val="00D87DFD"/>
    <w:rsid w:val="00D91C58"/>
    <w:rsid w:val="00D9717F"/>
    <w:rsid w:val="00DA0C53"/>
    <w:rsid w:val="00E1420C"/>
    <w:rsid w:val="00E4230E"/>
    <w:rsid w:val="00EA2BA5"/>
    <w:rsid w:val="00ED2710"/>
    <w:rsid w:val="00EF0E46"/>
    <w:rsid w:val="00EF7695"/>
    <w:rsid w:val="00F54E86"/>
    <w:rsid w:val="00F878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DB82CE"/>
  <w15:chartTrackingRefBased/>
  <w15:docId w15:val="{E462912C-296E-4715-887F-612F6193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907FD"/>
    <w:rPr>
      <w:sz w:val="16"/>
      <w:szCs w:val="16"/>
    </w:rPr>
  </w:style>
  <w:style w:type="paragraph" w:styleId="Kommentartext">
    <w:name w:val="annotation text"/>
    <w:basedOn w:val="Standard"/>
    <w:link w:val="KommentartextZchn"/>
    <w:uiPriority w:val="99"/>
    <w:unhideWhenUsed/>
    <w:rsid w:val="006907FD"/>
    <w:pPr>
      <w:spacing w:line="240" w:lineRule="auto"/>
    </w:pPr>
    <w:rPr>
      <w:sz w:val="20"/>
      <w:szCs w:val="20"/>
    </w:rPr>
  </w:style>
  <w:style w:type="character" w:customStyle="1" w:styleId="KommentartextZchn">
    <w:name w:val="Kommentartext Zchn"/>
    <w:basedOn w:val="Absatz-Standardschriftart"/>
    <w:link w:val="Kommentartext"/>
    <w:uiPriority w:val="99"/>
    <w:rsid w:val="006907FD"/>
    <w:rPr>
      <w:sz w:val="20"/>
      <w:szCs w:val="20"/>
    </w:rPr>
  </w:style>
  <w:style w:type="paragraph" w:styleId="Kommentarthema">
    <w:name w:val="annotation subject"/>
    <w:basedOn w:val="Kommentartext"/>
    <w:next w:val="Kommentartext"/>
    <w:link w:val="KommentarthemaZchn"/>
    <w:uiPriority w:val="99"/>
    <w:semiHidden/>
    <w:unhideWhenUsed/>
    <w:rsid w:val="006907FD"/>
    <w:rPr>
      <w:b/>
      <w:bCs/>
    </w:rPr>
  </w:style>
  <w:style w:type="character" w:customStyle="1" w:styleId="KommentarthemaZchn">
    <w:name w:val="Kommentarthema Zchn"/>
    <w:basedOn w:val="KommentartextZchn"/>
    <w:link w:val="Kommentarthema"/>
    <w:uiPriority w:val="99"/>
    <w:semiHidden/>
    <w:rsid w:val="006907FD"/>
    <w:rPr>
      <w:b/>
      <w:bCs/>
      <w:sz w:val="20"/>
      <w:szCs w:val="20"/>
    </w:rPr>
  </w:style>
  <w:style w:type="paragraph" w:styleId="Sprechblasentext">
    <w:name w:val="Balloon Text"/>
    <w:basedOn w:val="Standard"/>
    <w:link w:val="SprechblasentextZchn"/>
    <w:uiPriority w:val="99"/>
    <w:semiHidden/>
    <w:unhideWhenUsed/>
    <w:rsid w:val="006907F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07FD"/>
    <w:rPr>
      <w:rFonts w:ascii="Segoe UI" w:hAnsi="Segoe UI" w:cs="Segoe UI"/>
      <w:sz w:val="18"/>
      <w:szCs w:val="18"/>
    </w:rPr>
  </w:style>
  <w:style w:type="paragraph" w:styleId="Listenabsatz">
    <w:name w:val="List Paragraph"/>
    <w:basedOn w:val="Standard"/>
    <w:uiPriority w:val="34"/>
    <w:qFormat/>
    <w:rsid w:val="00396D56"/>
    <w:pPr>
      <w:ind w:left="720"/>
      <w:contextualSpacing/>
    </w:pPr>
  </w:style>
  <w:style w:type="paragraph" w:styleId="Funotentext">
    <w:name w:val="footnote text"/>
    <w:basedOn w:val="Standard"/>
    <w:link w:val="FunotentextZchn"/>
    <w:uiPriority w:val="99"/>
    <w:semiHidden/>
    <w:unhideWhenUsed/>
    <w:rsid w:val="00BD09B0"/>
    <w:pPr>
      <w:spacing w:line="240" w:lineRule="auto"/>
    </w:pPr>
    <w:rPr>
      <w:sz w:val="20"/>
      <w:szCs w:val="20"/>
    </w:rPr>
  </w:style>
  <w:style w:type="character" w:customStyle="1" w:styleId="FunotentextZchn">
    <w:name w:val="Fußnotentext Zchn"/>
    <w:basedOn w:val="Absatz-Standardschriftart"/>
    <w:link w:val="Funotentext"/>
    <w:uiPriority w:val="99"/>
    <w:semiHidden/>
    <w:rsid w:val="00BD09B0"/>
    <w:rPr>
      <w:sz w:val="20"/>
      <w:szCs w:val="20"/>
    </w:rPr>
  </w:style>
  <w:style w:type="character" w:styleId="Funotenzeichen">
    <w:name w:val="footnote reference"/>
    <w:basedOn w:val="Absatz-Standardschriftart"/>
    <w:uiPriority w:val="99"/>
    <w:semiHidden/>
    <w:unhideWhenUsed/>
    <w:rsid w:val="00BD09B0"/>
    <w:rPr>
      <w:vertAlign w:val="superscript"/>
    </w:rPr>
  </w:style>
  <w:style w:type="character" w:styleId="Hyperlink">
    <w:name w:val="Hyperlink"/>
    <w:basedOn w:val="Absatz-Standardschriftart"/>
    <w:uiPriority w:val="99"/>
    <w:unhideWhenUsed/>
    <w:rsid w:val="005F5871"/>
    <w:rPr>
      <w:color w:val="0563C1" w:themeColor="hyperlink"/>
      <w:u w:val="single"/>
    </w:rPr>
  </w:style>
  <w:style w:type="character" w:customStyle="1" w:styleId="NichtaufgelsteErwhnung1">
    <w:name w:val="Nicht aufgelöste Erwähnung1"/>
    <w:basedOn w:val="Absatz-Standardschriftart"/>
    <w:uiPriority w:val="99"/>
    <w:semiHidden/>
    <w:unhideWhenUsed/>
    <w:rsid w:val="005F5871"/>
    <w:rPr>
      <w:color w:val="605E5C"/>
      <w:shd w:val="clear" w:color="auto" w:fill="E1DFDD"/>
    </w:rPr>
  </w:style>
  <w:style w:type="paragraph" w:styleId="Kopfzeile">
    <w:name w:val="header"/>
    <w:basedOn w:val="Standard"/>
    <w:link w:val="KopfzeileZchn"/>
    <w:uiPriority w:val="99"/>
    <w:unhideWhenUsed/>
    <w:rsid w:val="002C7D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7DA4"/>
  </w:style>
  <w:style w:type="paragraph" w:styleId="Fuzeile">
    <w:name w:val="footer"/>
    <w:basedOn w:val="Standard"/>
    <w:link w:val="FuzeileZchn"/>
    <w:uiPriority w:val="99"/>
    <w:unhideWhenUsed/>
    <w:rsid w:val="002C7D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7DA4"/>
  </w:style>
  <w:style w:type="paragraph" w:styleId="berarbeitung">
    <w:name w:val="Revision"/>
    <w:hidden/>
    <w:uiPriority w:val="99"/>
    <w:semiHidden/>
    <w:rsid w:val="00CB0F0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3894">
      <w:bodyDiv w:val="1"/>
      <w:marLeft w:val="0"/>
      <w:marRight w:val="0"/>
      <w:marTop w:val="0"/>
      <w:marBottom w:val="0"/>
      <w:divBdr>
        <w:top w:val="none" w:sz="0" w:space="0" w:color="auto"/>
        <w:left w:val="none" w:sz="0" w:space="0" w:color="auto"/>
        <w:bottom w:val="none" w:sz="0" w:space="0" w:color="auto"/>
        <w:right w:val="none" w:sz="0" w:space="0" w:color="auto"/>
      </w:divBdr>
    </w:div>
    <w:div w:id="20034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9E6F-4DB5-4A59-BAFA-B81E9750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10559</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Grau</dc:creator>
  <cp:keywords/>
  <dc:description/>
  <cp:lastModifiedBy>Wukowitz Elisabeth, WKÖ BSG</cp:lastModifiedBy>
  <cp:revision>2</cp:revision>
  <dcterms:created xsi:type="dcterms:W3CDTF">2021-07-07T12:49:00Z</dcterms:created>
  <dcterms:modified xsi:type="dcterms:W3CDTF">2021-07-07T12:49:00Z</dcterms:modified>
</cp:coreProperties>
</file>