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5C3D66"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bookmarkStart w:id="0" w:name="_GoBack"/>
      <w:bookmarkEnd w:id="0"/>
    </w:p>
    <w:p w:rsidR="00DD7D20" w:rsidRDefault="00DD7D20"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jc w:val="center"/>
              <w:rPr>
                <w:i/>
              </w:rPr>
            </w:pPr>
            <w:r>
              <w:rPr>
                <w:lang w:val="de-AT"/>
              </w:rPr>
              <w:t>Der Verantwortliche:</w:t>
            </w:r>
          </w:p>
        </w:tc>
        <w:tc>
          <w:tcPr>
            <w:tcW w:w="725" w:type="dxa"/>
          </w:tcPr>
          <w:p w:rsidR="00DD7D20" w:rsidRDefault="00DD7D20" w:rsidP="007909D5"/>
          <w:p w:rsidR="00DD7D20" w:rsidRPr="00C671DD" w:rsidRDefault="00DD7D20" w:rsidP="007909D5">
            <w:pPr>
              <w:jc w:val="center"/>
              <w:rPr>
                <w:i/>
              </w:rPr>
            </w:pPr>
          </w:p>
        </w:tc>
        <w:tc>
          <w:tcPr>
            <w:tcW w:w="4822" w:type="dxa"/>
          </w:tcPr>
          <w:p w:rsidR="00DD7D20" w:rsidRPr="00C671DD" w:rsidRDefault="00DD7D20" w:rsidP="007909D5">
            <w:pPr>
              <w:rPr>
                <w:i/>
              </w:rPr>
            </w:pPr>
          </w:p>
          <w:p w:rsidR="00DD7D20" w:rsidRPr="00C671DD" w:rsidRDefault="00DD7D20" w:rsidP="007909D5">
            <w:pPr>
              <w:jc w:val="center"/>
              <w:rPr>
                <w:i/>
              </w:rPr>
            </w:pPr>
            <w:r>
              <w:rPr>
                <w:lang w:val="de-AT"/>
              </w:rPr>
              <w:t>Der Auftragsverarbeiter:</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8172A5" w:rsidRDefault="008172A5" w:rsidP="007909D5">
            <w:pPr>
              <w:rPr>
                <w:b/>
                <w:sz w:val="28"/>
                <w:szCs w:val="28"/>
              </w:rPr>
            </w:pPr>
            <w:r>
              <w:t xml:space="preserve">              </w:t>
            </w:r>
            <w:r w:rsidR="007909D5">
              <w:t xml:space="preserve">     </w:t>
            </w:r>
            <w:r>
              <w:t xml:space="preserve">  </w:t>
            </w:r>
            <w:r w:rsidR="007909D5">
              <w:rPr>
                <w:b/>
                <w:sz w:val="28"/>
                <w:szCs w:val="28"/>
              </w:rPr>
              <w:t>[Z</w:t>
            </w:r>
            <w:r w:rsidRPr="008172A5">
              <w:rPr>
                <w:b/>
                <w:sz w:val="28"/>
                <w:szCs w:val="28"/>
              </w:rPr>
              <w:t>ahnarzt</w:t>
            </w:r>
            <w:r w:rsidR="007909D5">
              <w:rPr>
                <w:b/>
                <w:sz w:val="28"/>
                <w:szCs w:val="28"/>
              </w:rPr>
              <w:t>]</w:t>
            </w:r>
          </w:p>
          <w:p w:rsidR="00DD7D20" w:rsidRPr="00B75776" w:rsidRDefault="00DD7D20" w:rsidP="007909D5"/>
        </w:tc>
        <w:tc>
          <w:tcPr>
            <w:tcW w:w="725" w:type="dxa"/>
          </w:tcPr>
          <w:p w:rsidR="00DD7D20" w:rsidRPr="00C671DD" w:rsidRDefault="00DD7D20" w:rsidP="007909D5"/>
        </w:tc>
        <w:tc>
          <w:tcPr>
            <w:tcW w:w="4822" w:type="dxa"/>
          </w:tcPr>
          <w:p w:rsidR="00DD7D20" w:rsidRDefault="00DD7D20" w:rsidP="007909D5"/>
          <w:p w:rsidR="008172A5" w:rsidRPr="00C671DD" w:rsidRDefault="008172A5" w:rsidP="007909D5"/>
          <w:p w:rsidR="00DD7D20" w:rsidRPr="008172A5" w:rsidRDefault="007909D5" w:rsidP="007909D5">
            <w:pPr>
              <w:jc w:val="center"/>
              <w:rPr>
                <w:b/>
                <w:sz w:val="28"/>
                <w:szCs w:val="28"/>
                <w:lang w:val="de-AT"/>
              </w:rPr>
            </w:pPr>
            <w:r>
              <w:rPr>
                <w:b/>
                <w:sz w:val="28"/>
                <w:szCs w:val="28"/>
              </w:rPr>
              <w:t>[Z</w:t>
            </w:r>
            <w:r w:rsidR="008172A5" w:rsidRPr="008172A5">
              <w:rPr>
                <w:b/>
                <w:sz w:val="28"/>
                <w:szCs w:val="28"/>
              </w:rPr>
              <w:t>ahntechnisches Labor</w:t>
            </w:r>
            <w:r>
              <w:rPr>
                <w:b/>
                <w:sz w:val="28"/>
                <w:szCs w:val="28"/>
              </w:rPr>
              <w:t>]</w:t>
            </w:r>
          </w:p>
          <w:p w:rsidR="00DD7D20" w:rsidRPr="008172A5" w:rsidRDefault="00DD7D20" w:rsidP="007909D5">
            <w:pPr>
              <w:rPr>
                <w:b/>
                <w:sz w:val="28"/>
                <w:szCs w:val="28"/>
                <w:lang w:val="de-AT"/>
              </w:rPr>
            </w:pPr>
          </w:p>
          <w:p w:rsidR="00DD7D20" w:rsidRPr="00C671DD" w:rsidRDefault="00DD7D20" w:rsidP="007909D5">
            <w:pPr>
              <w:jc w:val="center"/>
            </w:pPr>
          </w:p>
        </w:tc>
      </w:tr>
      <w:tr w:rsidR="00DD7D20" w:rsidRPr="00C671DD" w:rsidTr="007909D5">
        <w:trPr>
          <w:trHeight w:val="83"/>
          <w:jc w:val="center"/>
        </w:trPr>
        <w:tc>
          <w:tcPr>
            <w:tcW w:w="4474" w:type="dxa"/>
          </w:tcPr>
          <w:p w:rsidR="00DD7D20" w:rsidRPr="00E473C0" w:rsidRDefault="00DD7D20" w:rsidP="007909D5">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7909D5"/>
        </w:tc>
        <w:tc>
          <w:tcPr>
            <w:tcW w:w="4822" w:type="dxa"/>
          </w:tcPr>
          <w:p w:rsidR="00DD7D20" w:rsidRDefault="00DD7D20" w:rsidP="007909D5">
            <w:pPr>
              <w:jc w:val="center"/>
              <w:rPr>
                <w:lang w:val="de-AT"/>
              </w:rPr>
            </w:pPr>
            <w:r>
              <w:rPr>
                <w:lang w:val="de-AT"/>
              </w:rPr>
              <w:t>(</w:t>
            </w:r>
            <w:r w:rsidRPr="00F92877">
              <w:rPr>
                <w:lang w:val="de-AT"/>
              </w:rPr>
              <w:t>im Folgenden Auftragnehmer</w:t>
            </w:r>
            <w:r>
              <w:rPr>
                <w:lang w:val="de-AT"/>
              </w:rPr>
              <w:t>)</w:t>
            </w:r>
          </w:p>
          <w:p w:rsidR="00DD7D20" w:rsidRDefault="00DD7D20" w:rsidP="007909D5">
            <w:pPr>
              <w:jc w:val="center"/>
              <w:rPr>
                <w:lang w:val="de-AT"/>
              </w:rPr>
            </w:pPr>
          </w:p>
          <w:p w:rsidR="00680302" w:rsidRPr="00E473C0" w:rsidRDefault="00680302" w:rsidP="007909D5">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8172A5" w:rsidRDefault="00DD7D20" w:rsidP="008172A5">
      <w:pPr>
        <w:pStyle w:val="Listenabsatz"/>
        <w:numPr>
          <w:ilvl w:val="0"/>
          <w:numId w:val="9"/>
        </w:numPr>
        <w:spacing w:line="240" w:lineRule="auto"/>
        <w:rPr>
          <w:i/>
          <w:lang w:val="de-AT"/>
        </w:rPr>
      </w:pPr>
      <w:r w:rsidRPr="00A3392C">
        <w:rPr>
          <w:lang w:val="de-AT"/>
        </w:rPr>
        <w:t>Gegenstand dieses Auftrages ist die Durchführung folgender Aufgaben:</w:t>
      </w:r>
    </w:p>
    <w:p w:rsidR="007909D5" w:rsidRDefault="007909D5" w:rsidP="008172A5">
      <w:pPr>
        <w:pStyle w:val="Listenabsatz"/>
        <w:spacing w:line="240" w:lineRule="auto"/>
        <w:ind w:left="360"/>
        <w:rPr>
          <w:b/>
          <w:i/>
          <w:lang w:val="de-AT"/>
        </w:rPr>
      </w:pPr>
    </w:p>
    <w:p w:rsidR="00DD7D20" w:rsidRDefault="008172A5" w:rsidP="008172A5">
      <w:pPr>
        <w:pStyle w:val="Listenabsatz"/>
        <w:spacing w:line="240" w:lineRule="auto"/>
        <w:ind w:left="360"/>
        <w:rPr>
          <w:i/>
          <w:lang w:val="de-AT"/>
        </w:rPr>
      </w:pPr>
      <w:r w:rsidRPr="008172A5">
        <w:rPr>
          <w:b/>
          <w:i/>
          <w:lang w:val="de-AT"/>
        </w:rPr>
        <w:t xml:space="preserve">Anfertigung von </w:t>
      </w:r>
      <w:r w:rsidR="007909D5">
        <w:rPr>
          <w:b/>
          <w:i/>
          <w:lang w:val="de-AT"/>
        </w:rPr>
        <w:t>z</w:t>
      </w:r>
      <w:r w:rsidRPr="008172A5">
        <w:rPr>
          <w:b/>
          <w:i/>
          <w:lang w:val="de-AT"/>
        </w:rPr>
        <w:t>ahntechnischen Heilbehelfen</w:t>
      </w:r>
      <w:r w:rsidR="00DD7D20" w:rsidRPr="008172A5">
        <w:rPr>
          <w:i/>
          <w:lang w:val="de-AT"/>
        </w:rPr>
        <w:t>.</w:t>
      </w:r>
    </w:p>
    <w:p w:rsidR="00DD7D20" w:rsidRDefault="00DD7D20" w:rsidP="007909D5">
      <w:pPr>
        <w:rPr>
          <w:lang w:val="de-AT"/>
        </w:rPr>
      </w:pPr>
    </w:p>
    <w:p w:rsidR="008172A5" w:rsidRDefault="00DD7D20" w:rsidP="007909D5">
      <w:pPr>
        <w:pStyle w:val="Listenabsatz"/>
        <w:numPr>
          <w:ilvl w:val="0"/>
          <w:numId w:val="9"/>
        </w:numPr>
        <w:spacing w:line="240" w:lineRule="auto"/>
        <w:rPr>
          <w:lang w:val="de-AT"/>
        </w:rPr>
      </w:pPr>
      <w:r w:rsidRPr="008172A5">
        <w:rPr>
          <w:lang w:val="de-AT"/>
        </w:rPr>
        <w:t xml:space="preserve">Folgende Datenkategorien werden verarbeitet: </w:t>
      </w:r>
    </w:p>
    <w:p w:rsidR="008172A5" w:rsidRDefault="008172A5" w:rsidP="008172A5">
      <w:pPr>
        <w:spacing w:line="240" w:lineRule="auto"/>
        <w:rPr>
          <w:lang w:val="de-AT"/>
        </w:rPr>
      </w:pPr>
    </w:p>
    <w:p w:rsidR="008172A5" w:rsidRDefault="008172A5" w:rsidP="008172A5">
      <w:pPr>
        <w:pStyle w:val="Listenabsatz"/>
        <w:numPr>
          <w:ilvl w:val="0"/>
          <w:numId w:val="14"/>
        </w:numPr>
        <w:spacing w:line="240" w:lineRule="auto"/>
        <w:rPr>
          <w:lang w:val="de-AT"/>
        </w:rPr>
      </w:pPr>
      <w:r>
        <w:rPr>
          <w:lang w:val="de-AT"/>
        </w:rPr>
        <w:t>Kundenname, Kundenadresse</w:t>
      </w:r>
    </w:p>
    <w:p w:rsidR="008172A5" w:rsidRDefault="008172A5" w:rsidP="008172A5">
      <w:pPr>
        <w:pStyle w:val="Listenabsatz"/>
        <w:numPr>
          <w:ilvl w:val="0"/>
          <w:numId w:val="14"/>
        </w:numPr>
        <w:spacing w:line="240" w:lineRule="auto"/>
        <w:rPr>
          <w:lang w:val="de-AT"/>
        </w:rPr>
      </w:pPr>
      <w:r>
        <w:rPr>
          <w:lang w:val="de-AT"/>
        </w:rPr>
        <w:t>Kundentelefonnummer</w:t>
      </w:r>
    </w:p>
    <w:p w:rsidR="008172A5" w:rsidRDefault="008172A5" w:rsidP="008172A5">
      <w:pPr>
        <w:pStyle w:val="Listenabsatz"/>
        <w:numPr>
          <w:ilvl w:val="0"/>
          <w:numId w:val="14"/>
        </w:numPr>
        <w:spacing w:line="240" w:lineRule="auto"/>
        <w:rPr>
          <w:lang w:val="de-AT"/>
        </w:rPr>
      </w:pPr>
      <w:r>
        <w:rPr>
          <w:lang w:val="de-AT"/>
        </w:rPr>
        <w:t>Sozialversicherungsnummer</w:t>
      </w:r>
    </w:p>
    <w:p w:rsidR="008172A5" w:rsidRDefault="008172A5" w:rsidP="008172A5">
      <w:pPr>
        <w:pStyle w:val="Listenabsatz"/>
        <w:numPr>
          <w:ilvl w:val="0"/>
          <w:numId w:val="14"/>
        </w:numPr>
        <w:spacing w:line="240" w:lineRule="auto"/>
        <w:rPr>
          <w:lang w:val="de-AT"/>
        </w:rPr>
      </w:pPr>
      <w:r>
        <w:rPr>
          <w:lang w:val="de-AT"/>
        </w:rPr>
        <w:t>Relevante Gesundheitsdaten zur Anfertigung der Heilbehelfe</w:t>
      </w:r>
    </w:p>
    <w:p w:rsidR="008172A5" w:rsidRPr="008172A5" w:rsidRDefault="008172A5" w:rsidP="008172A5">
      <w:pPr>
        <w:pStyle w:val="Listenabsatz"/>
        <w:spacing w:line="240" w:lineRule="auto"/>
        <w:rPr>
          <w:lang w:val="de-AT"/>
        </w:rPr>
      </w:pPr>
      <w:r>
        <w:rPr>
          <w:lang w:val="de-AT"/>
        </w:rPr>
        <w:t xml:space="preserve"> </w:t>
      </w:r>
    </w:p>
    <w:p w:rsidR="00DD7D20" w:rsidRDefault="00DD7D20" w:rsidP="008172A5">
      <w:pPr>
        <w:pStyle w:val="Listenabsatz"/>
        <w:numPr>
          <w:ilvl w:val="0"/>
          <w:numId w:val="9"/>
        </w:numPr>
        <w:spacing w:line="240" w:lineRule="auto"/>
        <w:rPr>
          <w:lang w:val="de-AT"/>
        </w:rPr>
      </w:pPr>
      <w:r w:rsidRPr="008172A5">
        <w:rPr>
          <w:lang w:val="de-AT"/>
        </w:rPr>
        <w:t>Folgende Kategorien betroffener Personen werden</w:t>
      </w:r>
      <w:r w:rsidR="008172A5">
        <w:rPr>
          <w:lang w:val="de-AT"/>
        </w:rPr>
        <w:t xml:space="preserve"> unterliegen der Verarbeitung:</w:t>
      </w:r>
    </w:p>
    <w:p w:rsidR="008172A5" w:rsidRDefault="008172A5" w:rsidP="008172A5">
      <w:pPr>
        <w:spacing w:line="240" w:lineRule="auto"/>
        <w:rPr>
          <w:lang w:val="de-AT"/>
        </w:rPr>
      </w:pPr>
    </w:p>
    <w:p w:rsidR="008172A5" w:rsidRPr="008172A5" w:rsidRDefault="007909D5" w:rsidP="008172A5">
      <w:pPr>
        <w:pStyle w:val="Listenabsatz"/>
        <w:numPr>
          <w:ilvl w:val="0"/>
          <w:numId w:val="15"/>
        </w:numPr>
        <w:spacing w:line="240" w:lineRule="auto"/>
        <w:rPr>
          <w:lang w:val="de-AT"/>
        </w:rPr>
      </w:pPr>
      <w:r>
        <w:rPr>
          <w:lang w:val="de-AT"/>
        </w:rPr>
        <w:t>Patienten des Auftraggebers</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7909D5" w:rsidP="000B229A">
      <w:pPr>
        <w:shd w:val="clear" w:color="auto" w:fill="FFFFFF"/>
        <w:spacing w:line="240" w:lineRule="auto"/>
        <w:jc w:val="both"/>
      </w:pPr>
      <w:r>
        <w:t xml:space="preserve">Die Vereinbarung ist auf unbestimmte Zeit geschlossen und kann von beiden Parteien mit einer Frist von einem Monat zum </w:t>
      </w:r>
      <w:r w:rsidRPr="007909D5">
        <w:t>Kalendervierteljahr</w:t>
      </w:r>
      <w:r w:rsidRPr="007909D5">
        <w:rPr>
          <w:color w:val="FF0000"/>
        </w:rPr>
        <w:t xml:space="preserve"> </w:t>
      </w:r>
      <w:r>
        <w:t>gekündigt werden. Die Möglichkeit zur außerordentlichen Kündigung aus wichtigem Grund bleibt unberührt.</w:t>
      </w:r>
    </w:p>
    <w:p w:rsidR="007909D5" w:rsidRDefault="007909D5" w:rsidP="000B229A">
      <w:pPr>
        <w:shd w:val="clear" w:color="auto" w:fill="FFFFFF"/>
        <w:spacing w:line="240" w:lineRule="auto"/>
        <w:jc w:val="both"/>
        <w:rPr>
          <w:color w:val="272D2E"/>
          <w:szCs w:val="22"/>
          <w:lang w:val="de-AT" w:eastAsia="de-AT"/>
        </w:rPr>
        <w:sectPr w:rsidR="007909D5"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Der Auftragnehmer erklärt rechtsverbindlich, dass er alle erforderlichen Maßnahmen zur Gewährleistung der Sicherheit der Verarbeitung nach Art 32 DSGVO ergriffen hat (Einzelheiten sind der Anlage ./1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p>
    <w:p w:rsidR="00680302" w:rsidRPr="00680302" w:rsidRDefault="00680302" w:rsidP="00680302"/>
    <w:p w:rsidR="00DD7D20" w:rsidRDefault="00DD7D20" w:rsidP="00DD7D20">
      <w:pPr>
        <w:rPr>
          <w:lang w:val="de-AT"/>
        </w:rPr>
      </w:pPr>
      <w:r>
        <w:rPr>
          <w:lang w:val="de-AT"/>
        </w:rPr>
        <w:t>Alle Datenverarbeitungstätigkeiten werden ausschließlich innerhalb der EU bzw des EWR durchgeführt.</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p>
    <w:p w:rsidR="00680302" w:rsidRPr="00680302" w:rsidRDefault="00680302" w:rsidP="00680302"/>
    <w:p w:rsidR="00DD7D20" w:rsidRDefault="00DD7D20" w:rsidP="00E41C21">
      <w:pPr>
        <w:pStyle w:val="Listenabsatz"/>
        <w:numPr>
          <w:ilvl w:val="0"/>
          <w:numId w:val="16"/>
        </w:numPr>
      </w:pPr>
      <w:r>
        <w:t>Der Auftragnehmer ist nicht berechtigt, einen Sub-Auftragsverarbeiter heranzuziehen.</w:t>
      </w:r>
    </w:p>
    <w:p w:rsidR="00E41C21" w:rsidRDefault="00E41C21" w:rsidP="00DD7D20"/>
    <w:p w:rsidR="004A76CD" w:rsidRPr="00127504" w:rsidRDefault="00E41C21" w:rsidP="004A76CD">
      <w:pPr>
        <w:pStyle w:val="Listenabsatz"/>
        <w:numPr>
          <w:ilvl w:val="0"/>
          <w:numId w:val="16"/>
        </w:numPr>
      </w:pPr>
      <w:r w:rsidRPr="00127504">
        <w:t xml:space="preserve">Der Auftragnehmer hat den Auftraggeber über die Hinzuziehung von Sub-Auftragsverarbeiter zu informieren. </w:t>
      </w:r>
      <w:r w:rsidR="004A76CD" w:rsidRPr="00127504">
        <w:br/>
      </w:r>
      <w:r w:rsidR="004A76CD" w:rsidRPr="00127504">
        <w:br/>
        <w:t>Der Auftragnehmer wird mit den Sub-Auftragsverarbeitern entsprechende Verträge schließen und ihnen vertraglich gleichwertige Datenschutzpflichten auferlegen.</w:t>
      </w:r>
      <w:r w:rsidR="004A76CD" w:rsidRPr="00127504">
        <w:br/>
      </w:r>
      <w:r w:rsidR="004A76CD" w:rsidRPr="00127504">
        <w:br/>
        <w:t xml:space="preserve">Es werden ausschließlich Sub-Auftagsverabeiter mit Sitz und Datenverarbeitung innerhalb der EU oder des EWR beauftragt. </w:t>
      </w:r>
      <w:r w:rsidR="004A76CD" w:rsidRPr="00127504">
        <w:br/>
      </w:r>
      <w:r w:rsidR="004A76CD" w:rsidRPr="00127504">
        <w:br/>
        <w:t xml:space="preserve">Die zurzeit herangezogenen Sub-Auftragsverarbeiter sind in </w:t>
      </w:r>
      <w:r w:rsidR="004A76CD" w:rsidRPr="00127504">
        <w:rPr>
          <w:b/>
        </w:rPr>
        <w:t xml:space="preserve">Anlage </w:t>
      </w:r>
      <w:r w:rsidR="00D26B99" w:rsidRPr="00127504">
        <w:rPr>
          <w:b/>
        </w:rPr>
        <w:t>./</w:t>
      </w:r>
      <w:r w:rsidR="004A76CD" w:rsidRPr="00127504">
        <w:rPr>
          <w:b/>
        </w:rPr>
        <w:t>2</w:t>
      </w:r>
      <w:r w:rsidR="004A76CD" w:rsidRPr="00127504">
        <w:t xml:space="preserve"> aufgelistet. </w:t>
      </w:r>
    </w:p>
    <w:p w:rsidR="007909D5" w:rsidRDefault="007909D5" w:rsidP="00DD7D20"/>
    <w:p w:rsidR="00DD7D20" w:rsidRPr="007909D5" w:rsidRDefault="00DD7D20" w:rsidP="00DD7D20"/>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585"/>
          <w:jc w:val="center"/>
        </w:trPr>
        <w:tc>
          <w:tcPr>
            <w:tcW w:w="4474" w:type="dxa"/>
          </w:tcPr>
          <w:p w:rsidR="00DD7D20" w:rsidRPr="00C671DD" w:rsidRDefault="00DD7D20" w:rsidP="007909D5"/>
          <w:p w:rsidR="00DD7D20" w:rsidRPr="00B75776" w:rsidRDefault="00DD7D20" w:rsidP="007909D5">
            <w:r>
              <w:t>[</w:t>
            </w:r>
            <w:r w:rsidRPr="00B75776">
              <w:rPr>
                <w:i/>
              </w:rPr>
              <w:t>Ort</w:t>
            </w:r>
            <w:r>
              <w:t>]</w:t>
            </w:r>
            <w:r w:rsidRPr="00C671DD">
              <w:t>, am</w:t>
            </w:r>
            <w:r>
              <w:t xml:space="preserve"> [</w:t>
            </w:r>
            <w:r>
              <w:rPr>
                <w:i/>
              </w:rPr>
              <w:t>Datum</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r>
              <w:t>[</w:t>
            </w:r>
            <w:r w:rsidRPr="00B75776">
              <w:rPr>
                <w:i/>
              </w:rPr>
              <w:t>Ort</w:t>
            </w:r>
            <w:r>
              <w:t>]</w:t>
            </w:r>
            <w:r w:rsidRPr="00C671DD">
              <w:t>, am</w:t>
            </w:r>
            <w:r>
              <w:t xml:space="preserve"> [</w:t>
            </w:r>
            <w:r>
              <w:rPr>
                <w:i/>
              </w:rPr>
              <w:t>Datum</w:t>
            </w:r>
            <w:r>
              <w:t>]</w:t>
            </w:r>
          </w:p>
        </w:tc>
      </w:tr>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Auftraggeber</w:t>
            </w:r>
            <w:r w:rsidRPr="00C671DD">
              <w:rPr>
                <w:i/>
              </w:rPr>
              <w:t>:</w:t>
            </w:r>
          </w:p>
        </w:tc>
        <w:tc>
          <w:tcPr>
            <w:tcW w:w="725" w:type="dxa"/>
          </w:tcPr>
          <w:p w:rsidR="00DD7D20" w:rsidRPr="00C671DD" w:rsidRDefault="00DD7D20" w:rsidP="007909D5">
            <w:pPr>
              <w:rPr>
                <w:i/>
              </w:rPr>
            </w:pPr>
          </w:p>
        </w:tc>
        <w:tc>
          <w:tcPr>
            <w:tcW w:w="4822"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Auftragnehmer</w:t>
            </w:r>
            <w:r w:rsidRPr="00C671DD">
              <w:rPr>
                <w:i/>
              </w:rPr>
              <w:t>:</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B75776" w:rsidRDefault="00DD7D20" w:rsidP="007909D5">
            <w:r>
              <w:t>[</w:t>
            </w:r>
            <w:r>
              <w:rPr>
                <w:i/>
              </w:rPr>
              <w:t>Name samt Funktion</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C671DD" w:rsidRDefault="00DD7D20" w:rsidP="007909D5">
            <w:r>
              <w:t>[</w:t>
            </w:r>
            <w:r>
              <w:rPr>
                <w:i/>
              </w:rPr>
              <w:t>Name samt Funktion</w:t>
            </w:r>
            <w:r>
              <w:t>]</w:t>
            </w:r>
          </w:p>
        </w:tc>
      </w:tr>
    </w:tbl>
    <w:p w:rsidR="00DD7D20" w:rsidRDefault="00DD7D20" w:rsidP="00DD7D20">
      <w:pPr>
        <w:rPr>
          <w:lang w:val="de-AT"/>
        </w:rPr>
      </w:pPr>
    </w:p>
    <w:p w:rsidR="00E41C21" w:rsidRDefault="00E41C21" w:rsidP="00DD7D20">
      <w:pPr>
        <w:rPr>
          <w:lang w:val="de-AT"/>
        </w:rPr>
      </w:pPr>
    </w:p>
    <w:p w:rsidR="00DD7D20" w:rsidRPr="00E41C21" w:rsidRDefault="00E41C21" w:rsidP="00E41C21">
      <w:pPr>
        <w:pStyle w:val="Listenabsatz"/>
        <w:numPr>
          <w:ilvl w:val="0"/>
          <w:numId w:val="16"/>
        </w:numPr>
        <w:ind w:left="0" w:firstLine="0"/>
        <w:rPr>
          <w:lang w:val="de-AT"/>
        </w:rPr>
      </w:pPr>
      <w:r>
        <w:rPr>
          <w:lang w:val="de-AT"/>
        </w:rPr>
        <w:t>nicht zutreffendes bitte streichen!</w:t>
      </w: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1"/>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Schutz vor unbefugter Systembenutzung, z.B.: Kennwörter (einschließlich entsprechender Policy),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r w:rsidRPr="00A67555">
        <w:rPr>
          <w:b/>
        </w:rPr>
        <w:t>Pseudonymisierung</w:t>
      </w:r>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Integrität</w:t>
      </w:r>
      <w:r w:rsidR="008612BF" w:rsidRPr="009E3D86">
        <w:rPr>
          <w:rStyle w:val="Funotenzeichen"/>
          <w:rFonts w:ascii="Trebuchet MS" w:hAnsi="Trebuchet MS"/>
          <w:sz w:val="22"/>
          <w:szCs w:val="22"/>
        </w:rPr>
        <w:footnoteReference w:id="2"/>
      </w:r>
    </w:p>
    <w:p w:rsidR="00680302" w:rsidRPr="00680302" w:rsidRDefault="00680302" w:rsidP="00680302"/>
    <w:p w:rsidR="00DD7D20" w:rsidRDefault="00DD7D20" w:rsidP="00DD7D20">
      <w:pPr>
        <w:numPr>
          <w:ilvl w:val="0"/>
          <w:numId w:val="13"/>
        </w:numPr>
        <w:spacing w:line="240" w:lineRule="auto"/>
        <w:jc w:val="both"/>
      </w:pPr>
      <w:r w:rsidRPr="00A67555">
        <w:rPr>
          <w:b/>
        </w:rPr>
        <w:t>Weitergabekontrolle</w:t>
      </w:r>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udgl.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r>
        <w:t>Incident-Response-Management;</w:t>
      </w:r>
    </w:p>
    <w:p w:rsidR="00DD7D20" w:rsidRDefault="00DD7D20" w:rsidP="00DD7D20">
      <w:pPr>
        <w:numPr>
          <w:ilvl w:val="0"/>
          <w:numId w:val="13"/>
        </w:numPr>
        <w:spacing w:line="240" w:lineRule="auto"/>
        <w:jc w:val="both"/>
      </w:pPr>
      <w:r>
        <w:t>Datenschutzfreundliche Voreinstellungen;</w:t>
      </w:r>
    </w:p>
    <w:p w:rsidR="00D26B99"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26B99" w:rsidRDefault="00D26B99">
      <w:r>
        <w:br w:type="page"/>
      </w:r>
    </w:p>
    <w:p w:rsidR="00DD7D20" w:rsidRPr="00127504" w:rsidRDefault="00D26B99" w:rsidP="00180984">
      <w:pPr>
        <w:pStyle w:val="berschrift1"/>
        <w:ind w:left="397" w:hanging="397"/>
        <w:rPr>
          <w:rFonts w:ascii="Trebuchet MS" w:hAnsi="Trebuchet MS"/>
          <w:sz w:val="32"/>
          <w:szCs w:val="32"/>
        </w:rPr>
      </w:pPr>
      <w:r w:rsidRPr="00127504">
        <w:rPr>
          <w:rFonts w:ascii="Trebuchet MS" w:hAnsi="Trebuchet MS"/>
          <w:sz w:val="32"/>
          <w:szCs w:val="32"/>
        </w:rPr>
        <w:lastRenderedPageBreak/>
        <w:t>Anlage ./2 – Sub-Auftragsverarbeiter</w:t>
      </w:r>
    </w:p>
    <w:tbl>
      <w:tblPr>
        <w:tblStyle w:val="Tabellenraster"/>
        <w:tblW w:w="0" w:type="auto"/>
        <w:tblLook w:val="04A0" w:firstRow="1" w:lastRow="0" w:firstColumn="1" w:lastColumn="0" w:noHBand="0" w:noVBand="1"/>
      </w:tblPr>
      <w:tblGrid>
        <w:gridCol w:w="1980"/>
        <w:gridCol w:w="2693"/>
        <w:gridCol w:w="4389"/>
      </w:tblGrid>
      <w:tr w:rsidR="00D26B99" w:rsidTr="00180984">
        <w:tc>
          <w:tcPr>
            <w:tcW w:w="1980" w:type="dxa"/>
          </w:tcPr>
          <w:p w:rsidR="00D26B99" w:rsidRPr="00127504" w:rsidRDefault="00D26B99" w:rsidP="00DD7D20">
            <w:pPr>
              <w:rPr>
                <w:b/>
              </w:rPr>
            </w:pPr>
            <w:r w:rsidRPr="00127504">
              <w:rPr>
                <w:b/>
              </w:rPr>
              <w:t>Name</w:t>
            </w:r>
          </w:p>
        </w:tc>
        <w:tc>
          <w:tcPr>
            <w:tcW w:w="2693" w:type="dxa"/>
          </w:tcPr>
          <w:p w:rsidR="00D26B99" w:rsidRPr="00127504" w:rsidRDefault="00D26B99" w:rsidP="00DD7D20">
            <w:pPr>
              <w:rPr>
                <w:b/>
              </w:rPr>
            </w:pPr>
            <w:r w:rsidRPr="00127504">
              <w:rPr>
                <w:b/>
              </w:rPr>
              <w:t>Anschrift</w:t>
            </w:r>
          </w:p>
        </w:tc>
        <w:tc>
          <w:tcPr>
            <w:tcW w:w="4389" w:type="dxa"/>
          </w:tcPr>
          <w:p w:rsidR="00D26B99" w:rsidRPr="00180984" w:rsidRDefault="00D26B99" w:rsidP="00DD7D20">
            <w:pPr>
              <w:rPr>
                <w:b/>
              </w:rPr>
            </w:pPr>
            <w:r w:rsidRPr="00127504">
              <w:rPr>
                <w:b/>
              </w:rPr>
              <w:t>Auftragsinhalt</w:t>
            </w:r>
          </w:p>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bl>
    <w:p w:rsidR="00DD7D20" w:rsidRDefault="00DD7D20" w:rsidP="00DD7D20"/>
    <w:sectPr w:rsidR="00DD7D20"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A0" w:rsidRDefault="002206A0" w:rsidP="00DD7D20">
      <w:pPr>
        <w:spacing w:line="240" w:lineRule="auto"/>
      </w:pPr>
      <w:r>
        <w:separator/>
      </w:r>
    </w:p>
  </w:endnote>
  <w:endnote w:type="continuationSeparator" w:id="0">
    <w:p w:rsidR="002206A0" w:rsidRDefault="002206A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A0" w:rsidRDefault="002206A0" w:rsidP="00DD7D20">
      <w:pPr>
        <w:spacing w:line="240" w:lineRule="auto"/>
      </w:pPr>
      <w:r>
        <w:separator/>
      </w:r>
    </w:p>
  </w:footnote>
  <w:footnote w:type="continuationSeparator" w:id="0">
    <w:p w:rsidR="002206A0" w:rsidRDefault="002206A0" w:rsidP="00DD7D20">
      <w:pPr>
        <w:spacing w:line="240" w:lineRule="auto"/>
      </w:pPr>
      <w:r>
        <w:continuationSeparator/>
      </w:r>
    </w:p>
  </w:footnote>
  <w:footnote w:id="1">
    <w:p w:rsidR="007909D5" w:rsidRPr="0082518E" w:rsidRDefault="007909D5"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2">
    <w:p w:rsidR="007909D5" w:rsidRPr="008612BF" w:rsidRDefault="007909D5" w:rsidP="008612BF">
      <w:pPr>
        <w:pStyle w:val="Funotentext"/>
        <w:spacing w:line="240" w:lineRule="auto"/>
        <w:ind w:left="142" w:hanging="142"/>
        <w:rPr>
          <w:color w:val="FF0000"/>
          <w:lang w:val="de-AT"/>
        </w:rPr>
      </w:pPr>
      <w:r w:rsidRPr="009E3D86">
        <w:rPr>
          <w:rStyle w:val="Funotenzeichen"/>
        </w:rPr>
        <w:footnoteRef/>
      </w:r>
      <w:r w:rsidRPr="009E3D86">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DFD651D"/>
    <w:multiLevelType w:val="hybridMultilevel"/>
    <w:tmpl w:val="AFA4BA26"/>
    <w:lvl w:ilvl="0" w:tplc="D0D0369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184D36"/>
    <w:multiLevelType w:val="hybridMultilevel"/>
    <w:tmpl w:val="C8FC018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5F49E9"/>
    <w:multiLevelType w:val="hybridMultilevel"/>
    <w:tmpl w:val="74FEA4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9"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3"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8"/>
  </w:num>
  <w:num w:numId="5">
    <w:abstractNumId w:val="4"/>
  </w:num>
  <w:num w:numId="6">
    <w:abstractNumId w:val="0"/>
  </w:num>
  <w:num w:numId="7">
    <w:abstractNumId w:val="5"/>
  </w:num>
  <w:num w:numId="8">
    <w:abstractNumId w:val="10"/>
  </w:num>
  <w:num w:numId="9">
    <w:abstractNumId w:val="9"/>
  </w:num>
  <w:num w:numId="10">
    <w:abstractNumId w:val="14"/>
  </w:num>
  <w:num w:numId="11">
    <w:abstractNumId w:val="13"/>
  </w:num>
  <w:num w:numId="12">
    <w:abstractNumId w:val="12"/>
  </w:num>
  <w:num w:numId="13">
    <w:abstractNumId w:val="11"/>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444EE"/>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27504"/>
    <w:rsid w:val="00142250"/>
    <w:rsid w:val="001455FF"/>
    <w:rsid w:val="00166D5F"/>
    <w:rsid w:val="001675EA"/>
    <w:rsid w:val="00180984"/>
    <w:rsid w:val="00193FBA"/>
    <w:rsid w:val="001A04D8"/>
    <w:rsid w:val="001A1F7F"/>
    <w:rsid w:val="001A5B74"/>
    <w:rsid w:val="001C5380"/>
    <w:rsid w:val="001E2D12"/>
    <w:rsid w:val="001F25D1"/>
    <w:rsid w:val="00200EC8"/>
    <w:rsid w:val="0020107C"/>
    <w:rsid w:val="002023B8"/>
    <w:rsid w:val="00213287"/>
    <w:rsid w:val="002206A0"/>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005B"/>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A76CD"/>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57951"/>
    <w:rsid w:val="00573358"/>
    <w:rsid w:val="00594CD8"/>
    <w:rsid w:val="00596D89"/>
    <w:rsid w:val="005A7E33"/>
    <w:rsid w:val="005B7474"/>
    <w:rsid w:val="005B7B2B"/>
    <w:rsid w:val="005C382D"/>
    <w:rsid w:val="005C3D66"/>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909D5"/>
    <w:rsid w:val="007A6524"/>
    <w:rsid w:val="007D472B"/>
    <w:rsid w:val="007F0DCC"/>
    <w:rsid w:val="007F47AD"/>
    <w:rsid w:val="008042C9"/>
    <w:rsid w:val="00813C58"/>
    <w:rsid w:val="00813D37"/>
    <w:rsid w:val="008172A5"/>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6188"/>
    <w:rsid w:val="009E3D86"/>
    <w:rsid w:val="009F4C1B"/>
    <w:rsid w:val="009F7963"/>
    <w:rsid w:val="00A01D86"/>
    <w:rsid w:val="00A04226"/>
    <w:rsid w:val="00A07A71"/>
    <w:rsid w:val="00A26AF1"/>
    <w:rsid w:val="00A30D99"/>
    <w:rsid w:val="00A40993"/>
    <w:rsid w:val="00A40F7B"/>
    <w:rsid w:val="00A41415"/>
    <w:rsid w:val="00A44660"/>
    <w:rsid w:val="00A675D0"/>
    <w:rsid w:val="00A741F1"/>
    <w:rsid w:val="00A824B8"/>
    <w:rsid w:val="00A86018"/>
    <w:rsid w:val="00AC215F"/>
    <w:rsid w:val="00AC28F5"/>
    <w:rsid w:val="00AC617A"/>
    <w:rsid w:val="00AD057B"/>
    <w:rsid w:val="00AD104F"/>
    <w:rsid w:val="00AD16CA"/>
    <w:rsid w:val="00AD6225"/>
    <w:rsid w:val="00AE2B70"/>
    <w:rsid w:val="00B04CE3"/>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178B4"/>
    <w:rsid w:val="00C36B74"/>
    <w:rsid w:val="00C42CFE"/>
    <w:rsid w:val="00C54455"/>
    <w:rsid w:val="00C564E9"/>
    <w:rsid w:val="00C65C5C"/>
    <w:rsid w:val="00C779A5"/>
    <w:rsid w:val="00C8448C"/>
    <w:rsid w:val="00C86B86"/>
    <w:rsid w:val="00CB1F99"/>
    <w:rsid w:val="00CB4B04"/>
    <w:rsid w:val="00CB71CB"/>
    <w:rsid w:val="00CD434B"/>
    <w:rsid w:val="00CD6209"/>
    <w:rsid w:val="00CD7345"/>
    <w:rsid w:val="00CE4DF9"/>
    <w:rsid w:val="00CE70B3"/>
    <w:rsid w:val="00CE7A80"/>
    <w:rsid w:val="00CF5188"/>
    <w:rsid w:val="00CF54DF"/>
    <w:rsid w:val="00CF5AB7"/>
    <w:rsid w:val="00D00A67"/>
    <w:rsid w:val="00D00D00"/>
    <w:rsid w:val="00D26B99"/>
    <w:rsid w:val="00D3307C"/>
    <w:rsid w:val="00D4620F"/>
    <w:rsid w:val="00D5367E"/>
    <w:rsid w:val="00D55033"/>
    <w:rsid w:val="00D55BF3"/>
    <w:rsid w:val="00D60841"/>
    <w:rsid w:val="00D615F1"/>
    <w:rsid w:val="00D710D2"/>
    <w:rsid w:val="00D7143C"/>
    <w:rsid w:val="00D86C87"/>
    <w:rsid w:val="00D90A36"/>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41C21"/>
    <w:rsid w:val="00E47E97"/>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224FB-497D-473C-97FC-7BA280A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paragraph" w:styleId="StandardWeb">
    <w:name w:val="Normal (Web)"/>
    <w:basedOn w:val="Standard"/>
    <w:uiPriority w:val="99"/>
    <w:semiHidden/>
    <w:unhideWhenUsed/>
    <w:rsid w:val="005C3D66"/>
    <w:pPr>
      <w:spacing w:before="100" w:beforeAutospacing="1" w:after="100" w:afterAutospacing="1" w:line="240" w:lineRule="auto"/>
    </w:pPr>
    <w:rPr>
      <w:rFonts w:ascii="Times New Roman" w:eastAsiaTheme="minorEastAsia" w:hAnsi="Times New Roman"/>
      <w:sz w:val="24"/>
      <w:szCs w:val="24"/>
      <w:lang w:val="de-AT" w:eastAsia="de-AT"/>
    </w:rPr>
  </w:style>
  <w:style w:type="table" w:styleId="Tabellenraster">
    <w:name w:val="Table Grid"/>
    <w:basedOn w:val="NormaleTabelle"/>
    <w:uiPriority w:val="59"/>
    <w:rsid w:val="00D26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6FCA-CC37-42DD-A047-028ECE14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Schwetz Florian, Mag., Inhouse Media</cp:lastModifiedBy>
  <cp:revision>2</cp:revision>
  <cp:lastPrinted>2017-09-22T14:23:00Z</cp:lastPrinted>
  <dcterms:created xsi:type="dcterms:W3CDTF">2018-05-17T08:37:00Z</dcterms:created>
  <dcterms:modified xsi:type="dcterms:W3CDTF">2018-05-17T08:37:00Z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