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83" w:rsidRDefault="00FD1C83" w:rsidP="00FD1C83">
      <w:pPr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42"/>
          <w:szCs w:val="42"/>
        </w:rPr>
        <w:t>I Rechnungs</w:t>
      </w:r>
      <w:bookmarkStart w:id="0" w:name="_GoBack"/>
      <w:bookmarkEnd w:id="0"/>
      <w:r>
        <w:rPr>
          <w:rFonts w:ascii="Times" w:hAnsi="Times" w:cs="Times"/>
          <w:color w:val="000000"/>
          <w:sz w:val="42"/>
          <w:szCs w:val="42"/>
        </w:rPr>
        <w:t xml:space="preserve">wesen, Steuer- und Zollrecht: </w:t>
      </w:r>
    </w:p>
    <w:p w:rsidR="00FD1C83" w:rsidRDefault="00FD1C83" w:rsidP="00FD1C83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Steuerrechtliche Aufbewahrungspflicht nach § 132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BAO: 7 Jahre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darüberhinausgehend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solange sie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die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Abgabenbehörde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in einem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anhängigen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Verfahren von Bedeutung sind)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Unternehmensrechtliche Aufbewahrungspflicht nach §§ 190, 212 UGB: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Umsatzsteuerrechtliche Aufbewahrungspflichten nach § 18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10 UStG (Spezialbestimmung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Grundstücke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): 22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Umsatzsteuerrechtliche Aufbewahrungspflicht nach § 18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3. Unterabsatz: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Aufzeichnungen nach § 23 Abs. 2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Zollrechts-Durchführungsgesetz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42"/>
          <w:szCs w:val="42"/>
        </w:rPr>
        <w:t xml:space="preserve">II Vertragswesen: </w:t>
      </w:r>
    </w:p>
    <w:p w:rsidR="00FD1C83" w:rsidRDefault="00FD1C83" w:rsidP="00FD1C83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Gewährleistung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933 ABGB: 2 Jahre (bewegliche Sachen), 3 Jahre (unbewegliche Sachen)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Pr="00FD1C83" w:rsidRDefault="00FD1C83" w:rsidP="00FD1C83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 w:rsidRPr="00FD1C83">
        <w:rPr>
          <w:rFonts w:ascii="Times" w:hAnsi="Times" w:cs="Times"/>
          <w:color w:val="000000"/>
          <w:sz w:val="32"/>
          <w:szCs w:val="32"/>
        </w:rPr>
        <w:t xml:space="preserve">Kaufpreisforderung bei beweglichen Sachen nach § 1062 </w:t>
      </w:r>
      <w:proofErr w:type="spellStart"/>
      <w:r w:rsidRPr="00FD1C83"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 w:rsidRPr="00FD1C83">
        <w:rPr>
          <w:rFonts w:ascii="Times" w:hAnsi="Times" w:cs="Times"/>
          <w:color w:val="000000"/>
          <w:sz w:val="32"/>
          <w:szCs w:val="32"/>
        </w:rPr>
        <w:t xml:space="preserve"> § 1486 ABGB: 3 Jahre </w:t>
      </w:r>
      <w:r w:rsidRPr="00FD1C83">
        <w:rPr>
          <w:rFonts w:ascii="MS Gothic" w:eastAsia="MS Gothic" w:hAnsi="MS Gothic" w:cs="MS Gothic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Kaufpreisforderung bei unbeweglichen Sachen (e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contrario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§ 1486 ABGB):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Forderungen von Miet- und Pachtzinsen nach § 1486 ABGB: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lastRenderedPageBreak/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aus einem Werkvertrag nach § 1486 ABGB (wenn die Leistung im Rahmen eines gewerblichen oder sonstigen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geschäftlichen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Betriebs erbracht wurde):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Allgemeiner Schadenersatz nach § 1489 ABGB (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Entschädigungsklagen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): 3 Jahre (wenn Schaden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Schädiger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bekannt) /ansonsten 30 Jahre (betrifft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insb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auch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Arbeitsunfälle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!)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Haftungsansprüche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13 PHG: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42"/>
          <w:szCs w:val="42"/>
        </w:rPr>
        <w:t xml:space="preserve">III </w:t>
      </w:r>
      <w:proofErr w:type="spellStart"/>
      <w:r>
        <w:rPr>
          <w:rFonts w:ascii="Times" w:hAnsi="Times" w:cs="Times"/>
          <w:color w:val="000000"/>
          <w:sz w:val="42"/>
          <w:szCs w:val="42"/>
        </w:rPr>
        <w:t>Arbeitsverhältnisse</w:t>
      </w:r>
      <w:proofErr w:type="spellEnd"/>
      <w:r>
        <w:rPr>
          <w:rFonts w:ascii="Times" w:hAnsi="Times" w:cs="Times"/>
          <w:color w:val="000000"/>
          <w:sz w:val="42"/>
          <w:szCs w:val="42"/>
        </w:rPr>
        <w:t xml:space="preserve">: 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wegen diskriminierender Ablehnung einer Bewerbung nach §§ 15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und 29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GlbG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sowie § 7k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Z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BEinstG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6 Monate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von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allfälligen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Vorstellungskosten nach § 1486 Z 5 ABGB: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des Arbeitnehmers auf Entgelt oder auf Auslagenersatz sowie des Arbeitgebers wegen darauf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gewährter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Vorschüsse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1486 Z 5 ABGB: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Verfolgungsverjährung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wegen Unterentlohnung nach § 31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VStG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§ 29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4 LSD-BG: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Schadenersatzansprüche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des Arbeitgebers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gegenüber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dem Arbeitnehmer aus der Dienstnehmerhaftpflicht bei leichter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Fahrlässigkeit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6 DHG: 6 Monate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Schadenersatzansprüche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des Arbeitgebers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gegenüber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dem Arbeitnehmer aus der Dienstnehmerhaftpflicht bei grober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Fahrlässigkeit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oder bei Vorsatz sowie sonstige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lastRenderedPageBreak/>
        <w:t>Schadenersatzansprüche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des Arbeitgebers nach § 1489 ABGB: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Daten betreffend Lohnsteuer- und Abgabenpflicht nach § 132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BAO: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Daten betreffend Sozialversicherungsbeitragspflicht nach § 68 ASVG: 3 bzw.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Haftung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Abfertigungsansprüche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und Betriebspensionen nach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Betriebsübergang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6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AVRAG: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wegen diskriminierender Ablehnung einer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Beförderung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§§ 15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und 29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GlbG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sowie § 7k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Z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BEinstG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6 Monate 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wegen diskriminierender Schlechterstellung beim Entgelt, freiwilligen Sozialleistungen, Schulungs-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Weiterbildungs­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maßnahmen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oder sonstigen Arbeitsbedingungen nach §§ 15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und 29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GlbG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sowie § 7k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Z 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BEinstG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wegen diskriminierender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Belästigung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§§ 15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und 29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GlbG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sowie § 7k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Z 4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BEinstG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1 Jahr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wegen sexueller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Belästigung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15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GlbG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Anspruch auf Urlaub nach § 4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UrlG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2 Jahre ab Ende des Urlaubsjahres, in dem der Urlaub entstanden ist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 xml:space="preserve">Anspruch auf Urlaubsersatzleistung nach § 1486 Z 5 ABGB: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Aufzeichnungen und Berichte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Arbeitsunfälle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16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ASchG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mind.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Überlassung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von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Arbeitskräften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13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3 AÜG: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Jugendlichenverzeichnis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26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KJBG: 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 Ersatz wegen diskriminierender Beendigung des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Arbeitsverhältnisses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§§ 15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1a und 29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1a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GlBG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sowie § 7k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2 Z 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BEinstG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6 Monate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Ersatzansprüche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des Arbeitgebers bzw. des Arbeitnehmers aus einer vorzeitigen Beendigung des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Arbeitsverhältnisses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34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AngG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bzw. § 1162d ABGB: 6 Monate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Anspruch auf Ausstellung eines Dienstzeugnisses nach § 1478 ABGB: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42"/>
          <w:szCs w:val="42"/>
        </w:rPr>
        <w:t xml:space="preserve">IV Branchenspezifische Fristen: </w:t>
      </w:r>
    </w:p>
    <w:p w:rsidR="00FD1C83" w:rsidRDefault="00FD1C83" w:rsidP="00FD1C83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Geldwäschebestimmungen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(Aufbewahrung der verlangten Dokumente oder der Referenzangaben sowie alle Belege und Aufzeichnungen betreffend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Geschäftsbeziehungen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und Transaktionen) nach § 365y GewO: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Geldwäschebestimmungen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(Identifizierungsunterlagen sowie Belege und Aufzeichnungen von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sämtlichen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Transaktionen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Geschäftsbeziehungen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 nach § 51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BiBuG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mindestens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lastRenderedPageBreak/>
        <w:t>Geldwäschebestimmungen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(Kopien erhaltener Dokumente und Informationen, Transaktionsbelege und –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aufzeichnungen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 nach § 21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Finanzmarkt-Geldwäschegesetz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(FM-GWG) mindestens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6832600" cy="88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:rsidR="00FD1C83" w:rsidRDefault="00FD1C83" w:rsidP="00FD1C83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Aufzeichnungs- und Aufbewahrungspflichten nach § 22 WAG 2007: 5 Jahre (tritt mit 2.1.2018 außer Kraft)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Aufzeichnungs- und Aufbewahrungspflichten nach § 66 WAG 2007: 5 Jahre (tritt mit 2.1.2018 außer Kraft)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Aufzeichnungs- und Aufbewahrungspflichten nach § 33 WAG 2018: mind. 5 Jahre bis max. 7 Jahre in besonderen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Umständen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einer Verordnung durch die FMA (in Geltung ab 2.1.2018)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Korrespondenz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Geschäftsbücher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von Auskunfteien nach § 152 GewO: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§ 98 VAG: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Aufbewahrungspflichten nach § 21 Investmentfondsgesetz (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InvFG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): mind. 5 Jahre (auf Anordnung der FMA im Einzelfall auch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länger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§ 18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Zahlungsdienstegesetz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ZaDiG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): mind.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Abfallaufzeichnungen gem. § 17 AWG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§ 3 Abfallnachweisverordnung (ANV):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von Begleitscheinen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iSd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§ 18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1 AWG 2002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§ 8 Abfallnachweisverordnung: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>Aufbewahrungspflichten nach der Allgemeinen Strahlenschutzverordnung (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AllgStrSchV</w:t>
      </w:r>
      <w:proofErr w:type="spellEnd"/>
      <w:r>
        <w:rPr>
          <w:rFonts w:ascii="Times" w:hAnsi="Times" w:cs="Times"/>
          <w:color w:val="000000"/>
          <w:sz w:val="32"/>
          <w:szCs w:val="32"/>
        </w:rPr>
        <w:t>) (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ua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§§ 16, 19, 31):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von Verwertungsnachweisen nach der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Altfahrzeugeverordnung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(§§ 5, 11, 12a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iVm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Anlage 3):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Aufbewahrungspflichten nach Art 36 der EU-Verordnung 1907/2006 (REACH-Verordnung): mind.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§ 43 Abs. 1 Chemikaliengesetz (ChemG):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Art 8 der EU-Verordnung 98/2013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die Vermarktung und Verwendung von Ausgangsstoffen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Explosivstoffe: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§ 7 Giftverordnung: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Aufzeichnungen der Erzeuger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Arzneimittelgroßhändler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psychotrope Stoffe nach § 8 Psychotropenverordnung: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Vormerkungen von Erzeugern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Arzneimittelgroßhändler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8 Suchtgiftverordnung: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Pr="00FD1C83" w:rsidRDefault="00FD1C83" w:rsidP="00FD1C83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der Unterlagen nach Art 3 und 4 der EU-Verordnung 111/2005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die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Überwachung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des Handels mit Drogenausgangsstoffen: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  <w:r w:rsidRPr="00FD1C83">
        <w:rPr>
          <w:rFonts w:ascii="Times" w:hAnsi="Times" w:cs="Times"/>
          <w:color w:val="000000"/>
          <w:sz w:val="32"/>
          <w:szCs w:val="32"/>
        </w:rPr>
        <w:t xml:space="preserve">3 Jahre 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§ 46 Arzneimittelgesetz (AMG): 15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 xml:space="preserve">Aufbewahrungspflicht nach § 15 Abs. 1 Arzneimittelbetriebsordnung (AMBO):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chargenbezogener Unterlagen nach § 15 Abs. 9 Arzneimittelbetriebsordnung (AMBO): 15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Identifizierungspflicht innerhalb der Lieferkette nach Art 7 EU- Kosmetikverordnung 1223/2009: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Produktinformationsdatei nach Art 11 EU-Kosmetikverordnung 1223/2009: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Aufbewahrungspflichten nach § 11 Abs. 3 Pflanzenschutzmittelgesetz: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Aufbewahrungspflichten nach § 2 Abs. 6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Düngemittelverordnung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Aufbewahrungspflichten bzgl.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Ammoniumnitratdünger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Art 26 Abs. 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EU-Düngemittel-Verordnung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solange der Markt mit dem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Düngemittel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beliefert wird,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weitere 2 Jahre, nachdem der Hersteller es vom Markt genommen hat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ärztlicher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Aufzeichnungen und Dokumentationen gem. § 51 Abs. 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ÄrzteG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von Krankengeschichten in Krankenanstalten gem. § 10 Abs. 1 Z 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KaKuG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30 Jahre;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Röntgenbilder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, Videoaufnahmen und andere Bestandteile von Krankengeschichten, deren Beweiskraft nicht 30 Jahre hindurch gegeben ist, sowie bei ambulanten Behandlungen: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 xml:space="preserve">Aufbewahrung von Dokumentationen und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Zustimmungserklärungen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im Zusammenhang mit medizinisch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unterstützter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Fortpflanzung gem. § 18 Fortpflanzungsmedizingesetz (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FMedG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):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Dokumentationen im Zusammenhang mit Gewebeentnahmen gem. §§ 5, 16 Gewebesicherheitsgesetz (GSG): mind. 10 Jahre; bzgl. Teile, die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eine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lückenlose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Rückverfolgbarkeit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unerlässlich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sind: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Dokumentation bei Organentnahmen und –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transplantationen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gem. §§ 3e, 3f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KaKuG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Dokumentation von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Eingängen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Abgängen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und Anwendungen von Blut oder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Blutbeständen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im Rahmen des Blutdepots gem. § 8f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KaKuG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Behandlungsdokumentation von medizinischen Masseuren und Heilmasseuren nach § 3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MMHmG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Pr="00FD1C83" w:rsidRDefault="00FD1C83" w:rsidP="00FD1C83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Dokumentationspflichten nach der Verordnung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die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  <w:proofErr w:type="spellStart"/>
      <w:r w:rsidRPr="00FD1C83">
        <w:rPr>
          <w:rFonts w:ascii="Times" w:hAnsi="Times" w:cs="Times"/>
          <w:color w:val="000000"/>
          <w:sz w:val="32"/>
          <w:szCs w:val="32"/>
        </w:rPr>
        <w:t>Konformitätsbewertung</w:t>
      </w:r>
      <w:proofErr w:type="spellEnd"/>
      <w:r w:rsidRPr="00FD1C83">
        <w:rPr>
          <w:rFonts w:ascii="Times" w:hAnsi="Times" w:cs="Times"/>
          <w:color w:val="000000"/>
          <w:sz w:val="32"/>
          <w:szCs w:val="32"/>
        </w:rPr>
        <w:t xml:space="preserve"> von Medizinprodukten: 5 </w:t>
      </w:r>
      <w:proofErr w:type="spellStart"/>
      <w:r w:rsidRPr="00FD1C83">
        <w:rPr>
          <w:rFonts w:ascii="Times" w:hAnsi="Times" w:cs="Times"/>
          <w:color w:val="000000"/>
          <w:sz w:val="32"/>
          <w:szCs w:val="32"/>
        </w:rPr>
        <w:t>bzw</w:t>
      </w:r>
      <w:proofErr w:type="spellEnd"/>
      <w:r w:rsidRPr="00FD1C83">
        <w:rPr>
          <w:rFonts w:ascii="Times" w:hAnsi="Times" w:cs="Times"/>
          <w:color w:val="000000"/>
          <w:sz w:val="32"/>
          <w:szCs w:val="32"/>
        </w:rPr>
        <w:t xml:space="preserve"> 15 Jahre 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Implantatregister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von Medizinproduktebetreibern nach § 10 Medizinproduktebetreiberverordnung: 30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des Haushaltsbuches sowie der Belege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Personenbetreuer nach § 160 GewO: 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Gästeverzeichnisblattsammlungen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19 Abs. 5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Meldegesetz-Durchführungsverordnung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: 7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 xml:space="preserve">Wochenberichtsblatt nach § 4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4 Wochenberichtsblatt-Verordnung (Ausbildung von Jugendlichen zu Kraftfahrern): 1 Jahr nach Beendigung des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Lehrverhältnisses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von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Fahrtenbüchern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, Lenkzeiten,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udgl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den §§ 17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Abs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5, 17b AZG: 24 Monate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der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Schaublätter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der Fahrtschreiber bzw. der vom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Kontrollgerät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aufgezeichneten Daten nach § 103 Abs. 4 KFG: 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von Arbeitszeitaufzeichnungen des Zugpersonals nach § 18k AZG: 1 Jahr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Fahrtenbücher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zum Nachweis der Verwendung von Probekennzeichen nach § 45 Abs. 6 KFG: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Aufbewahrungspflichten bzgl. Geschwindigkeitsmesser, Fahrtschreiber und Wegstreckenmesser nach § 24 KFG: 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des Typenscheinverzeichnisses nach § 30 KFG: 10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 nach § 102 Abs. 4 LFG: 2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 von Aufzeichnungen nach § 169 LFG: 1 Jahr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Arbeitszeitaufzeichnungen inkl. Ruhezeiten nach § 10 Schiffsbesatzungsverordnung (Schiffstagebuch und Bordbuch): 6 Monate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lastRenderedPageBreak/>
        <w:t xml:space="preserve">Aufzeichnungen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den Ausbildungsgang eines jeden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Fahrschülers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nach § 64b Abs. 8 und 8a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Kraftfahrgesetz-Durchführungsverordnung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(KDV):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Aufbewahrungspflichten des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Arbeitskräfteüberlassers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betreffend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überlassene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Arbeitnehmer nach § 13 AÜG: 5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Aufzeichnungspflichten </w:t>
      </w:r>
      <w:proofErr w:type="spellStart"/>
      <w:r>
        <w:rPr>
          <w:rFonts w:ascii="Times" w:hAnsi="Times" w:cs="Times"/>
          <w:color w:val="000000"/>
          <w:sz w:val="32"/>
          <w:szCs w:val="32"/>
        </w:rPr>
        <w:t>für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Betreiber von Tierheimen und Tierpensionen nach 29 Tierschutzgesetz (Vormerkbuch):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FD1C83" w:rsidRDefault="00FD1C83" w:rsidP="00FD1C83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Aufzeichnungen nach § 13 Tierhaltungs-Gewerbeverordnung: 3 Jahre </w:t>
      </w:r>
      <w:r>
        <w:rPr>
          <w:rFonts w:ascii="MS Mincho" w:eastAsia="MS Mincho" w:hAnsi="MS Mincho" w:cs="MS Mincho" w:hint="eastAsia"/>
          <w:color w:val="000000"/>
          <w:sz w:val="32"/>
          <w:szCs w:val="32"/>
        </w:rPr>
        <w:t> </w:t>
      </w:r>
    </w:p>
    <w:p w:rsidR="0048717C" w:rsidRDefault="0048717C" w:rsidP="00FD1C83"/>
    <w:sectPr w:rsidR="0048717C" w:rsidSect="00DD734A"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3B" w:rsidRDefault="0092213B" w:rsidP="00FD1C83">
      <w:r>
        <w:separator/>
      </w:r>
    </w:p>
  </w:endnote>
  <w:endnote w:type="continuationSeparator" w:id="0">
    <w:p w:rsidR="0092213B" w:rsidRDefault="0092213B" w:rsidP="00F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C83" w:rsidRDefault="00FD1C83" w:rsidP="00FD1C83">
    <w:pPr>
      <w:autoSpaceDE w:val="0"/>
      <w:autoSpaceDN w:val="0"/>
      <w:adjustRightInd w:val="0"/>
      <w:spacing w:after="240" w:line="360" w:lineRule="atLeast"/>
      <w:rPr>
        <w:rFonts w:ascii="Times" w:hAnsi="Times" w:cs="Times"/>
        <w:color w:val="000000"/>
      </w:rPr>
    </w:pPr>
    <w:proofErr w:type="gramStart"/>
    <w:r>
      <w:rPr>
        <w:rFonts w:ascii="Times" w:hAnsi="Times" w:cs="Times"/>
        <w:color w:val="000000"/>
        <w:sz w:val="32"/>
        <w:szCs w:val="32"/>
      </w:rPr>
      <w:t>Quelle:https://www.wko.at/service/wirtschaftsrecht-gewerberecht/eu-dsgvo-speicher-und-</w:t>
    </w:r>
    <w:proofErr w:type="gramEnd"/>
    <w:r>
      <w:rPr>
        <w:rFonts w:ascii="Times" w:hAnsi="Times" w:cs="Times"/>
        <w:color w:val="000000"/>
        <w:sz w:val="32"/>
        <w:szCs w:val="32"/>
      </w:rPr>
      <w:t xml:space="preserve"> aufbewahrungsfristen.html </w:t>
    </w:r>
  </w:p>
  <w:p w:rsidR="00FD1C83" w:rsidRDefault="00FD1C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3B" w:rsidRDefault="0092213B" w:rsidP="00FD1C83">
      <w:r>
        <w:separator/>
      </w:r>
    </w:p>
  </w:footnote>
  <w:footnote w:type="continuationSeparator" w:id="0">
    <w:p w:rsidR="0092213B" w:rsidRDefault="0092213B" w:rsidP="00FD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2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3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A70814"/>
    <w:multiLevelType w:val="multilevel"/>
    <w:tmpl w:val="2B886BD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AD5394"/>
    <w:multiLevelType w:val="multilevel"/>
    <w:tmpl w:val="31E0E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F81F0F"/>
    <w:multiLevelType w:val="multilevel"/>
    <w:tmpl w:val="47B07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1D0FBC"/>
    <w:multiLevelType w:val="multilevel"/>
    <w:tmpl w:val="055AA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A354DF"/>
    <w:multiLevelType w:val="multilevel"/>
    <w:tmpl w:val="9180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83"/>
    <w:rsid w:val="000A4B79"/>
    <w:rsid w:val="0048717C"/>
    <w:rsid w:val="00612F3E"/>
    <w:rsid w:val="00835862"/>
    <w:rsid w:val="0092213B"/>
    <w:rsid w:val="00F910A8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3D156"/>
  <w15:chartTrackingRefBased/>
  <w15:docId w15:val="{17A27F4C-1834-D446-9BDE-B0E7307F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4B79"/>
    <w:pPr>
      <w:keepNext/>
      <w:keepLines/>
      <w:numPr>
        <w:numId w:val="4"/>
      </w:numPr>
      <w:spacing w:before="240"/>
      <w:outlineLvl w:val="0"/>
    </w:pPr>
    <w:rPr>
      <w:rFonts w:ascii="Tahoma" w:eastAsiaTheme="majorEastAsia" w:hAnsi="Tahoma" w:cstheme="majorBidi"/>
      <w:b/>
      <w:color w:val="2F5496" w:themeColor="accent1" w:themeShade="BF"/>
      <w:sz w:val="36"/>
      <w:szCs w:val="32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4B79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4B79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5862"/>
    <w:pPr>
      <w:keepNext/>
      <w:keepLines/>
      <w:numPr>
        <w:ilvl w:val="3"/>
        <w:numId w:val="5"/>
      </w:numPr>
      <w:spacing w:before="40"/>
      <w:ind w:left="1728" w:hanging="648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4B79"/>
    <w:rPr>
      <w:rFonts w:ascii="Tahoma" w:eastAsiaTheme="majorEastAsia" w:hAnsi="Tahoma" w:cstheme="majorBidi"/>
      <w:b/>
      <w:color w:val="2F5496" w:themeColor="accent1" w:themeShade="BF"/>
      <w:sz w:val="36"/>
      <w:szCs w:val="3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58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5862"/>
    <w:rPr>
      <w:rFonts w:asciiTheme="majorHAnsi" w:eastAsiaTheme="majorEastAsia" w:hAnsiTheme="majorHAnsi" w:cstheme="majorBidi"/>
      <w:color w:val="1F3763" w:themeColor="accent1" w:themeShade="7F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5862"/>
    <w:rPr>
      <w:rFonts w:asciiTheme="majorHAnsi" w:eastAsiaTheme="majorEastAsia" w:hAnsiTheme="majorHAnsi" w:cstheme="majorBidi"/>
      <w:i/>
      <w:iCs/>
      <w:color w:val="2F5496" w:themeColor="accent1" w:themeShade="BF"/>
      <w:lang w:eastAsia="de-AT"/>
    </w:rPr>
  </w:style>
  <w:style w:type="paragraph" w:styleId="Listenabsatz">
    <w:name w:val="List Paragraph"/>
    <w:basedOn w:val="Standard"/>
    <w:uiPriority w:val="34"/>
    <w:qFormat/>
    <w:rsid w:val="00FD1C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1C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C83"/>
  </w:style>
  <w:style w:type="paragraph" w:styleId="Fuzeile">
    <w:name w:val="footer"/>
    <w:basedOn w:val="Standard"/>
    <w:link w:val="FuzeileZchn"/>
    <w:uiPriority w:val="99"/>
    <w:unhideWhenUsed/>
    <w:rsid w:val="00FD1C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1403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Kortschak</dc:creator>
  <cp:keywords/>
  <dc:description/>
  <cp:lastModifiedBy>Gerald Kortschak</cp:lastModifiedBy>
  <cp:revision>1</cp:revision>
  <dcterms:created xsi:type="dcterms:W3CDTF">2018-03-09T04:07:00Z</dcterms:created>
  <dcterms:modified xsi:type="dcterms:W3CDTF">2018-03-09T04:11:00Z</dcterms:modified>
</cp:coreProperties>
</file>