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bidi/>
        <w:jc w:val="center"/>
        <w:rPr>
          <w:b/>
          <w:bCs/>
          <w:sz w:val="32"/>
          <w:szCs w:val="28"/>
          <w:rtl/>
        </w:rPr>
      </w:pPr>
      <w:r>
        <w:rPr>
          <w:rFonts w:hint="cs"/>
          <w:b/>
          <w:bCs/>
          <w:sz w:val="32"/>
          <w:szCs w:val="32"/>
          <w:rtl/>
        </w:rPr>
        <w:t>ملحق</w:t>
      </w:r>
      <w:r>
        <w:rPr>
          <w:b/>
          <w:bCs/>
          <w:sz w:val="32"/>
          <w:szCs w:val="32"/>
        </w:rPr>
        <w:t xml:space="preserve"> </w:t>
      </w:r>
    </w:p>
    <w:p w14:paraId="1165C02A" w14:textId="45EF0D09" w:rsidR="00CB6F0B" w:rsidRPr="00CB6F0B" w:rsidRDefault="00CB6F0B" w:rsidP="00CB6F0B">
      <w:pPr>
        <w:bidi/>
        <w:jc w:val="center"/>
        <w:rPr>
          <w:b/>
          <w:bCs/>
          <w:rtl/>
        </w:rPr>
      </w:pPr>
      <w:r>
        <w:rPr>
          <w:rFonts w:hint="cs"/>
          <w:b/>
          <w:bCs/>
          <w:rtl/>
        </w:rPr>
        <w:t>بخصوص</w:t>
      </w:r>
    </w:p>
    <w:p w14:paraId="02C43401" w14:textId="312DEC79" w:rsidR="00CB6F0B" w:rsidRPr="00CB6F0B" w:rsidRDefault="00CB6F0B" w:rsidP="00CB6F0B">
      <w:pPr>
        <w:bidi/>
        <w:jc w:val="center"/>
        <w:rPr>
          <w:b/>
          <w:bCs/>
          <w:rtl/>
        </w:rPr>
      </w:pPr>
      <w:r>
        <w:rPr>
          <w:rFonts w:hint="cs"/>
          <w:b/>
          <w:bCs/>
          <w:rtl/>
        </w:rPr>
        <w:t>دليل لضمان الامتثال للمتطلبات الصحية لمن يتعاملون مع الأغذية</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pPr>
        <w:bidi/>
        <w:rPr>
          <w:rtl/>
        </w:rPr>
      </w:pPr>
      <w:r>
        <w:rPr>
          <w:rFonts w:hint="cs"/>
          <w:rtl/>
        </w:rPr>
        <w:t>الشركة</w:t>
      </w:r>
      <w:r>
        <w:t xml:space="preserve"> </w:t>
      </w:r>
    </w:p>
    <w:p w14:paraId="2E2018B2" w14:textId="77777777" w:rsidR="00CB6F0B" w:rsidRDefault="00CB6F0B" w:rsidP="0048638B"/>
    <w:p w14:paraId="7D90B4DA" w14:textId="799984AC" w:rsidR="00CB6F0B" w:rsidRDefault="00CB6F0B" w:rsidP="00CB6F0B">
      <w:pPr>
        <w:tabs>
          <w:tab w:val="left" w:leader="dot" w:pos="8505"/>
        </w:tabs>
        <w:bidi/>
        <w:rPr>
          <w:rtl/>
        </w:rPr>
      </w:pPr>
      <w:r>
        <w:rPr>
          <w:rFonts w:hint="cs"/>
          <w:rtl/>
        </w:rPr>
        <w:tab/>
      </w:r>
      <w:r>
        <w:rPr>
          <w:rFonts w:hint="cs"/>
          <w:rtl/>
        </w:rPr>
        <w:br/>
      </w:r>
    </w:p>
    <w:p w14:paraId="049DEF46" w14:textId="46BD7602" w:rsidR="00CB6F0B" w:rsidRDefault="00CB6F0B" w:rsidP="00CB6F0B">
      <w:pPr>
        <w:tabs>
          <w:tab w:val="left" w:leader="dot" w:pos="8505"/>
        </w:tabs>
        <w:bidi/>
        <w:rPr>
          <w:rtl/>
        </w:rPr>
      </w:pPr>
      <w:r>
        <w:rPr>
          <w:rFonts w:hint="cs"/>
          <w:rtl/>
        </w:rPr>
        <w:tab/>
      </w:r>
      <w:r>
        <w:rPr>
          <w:rFonts w:hint="cs"/>
          <w:rtl/>
        </w:rPr>
        <w:br/>
      </w:r>
      <w:r>
        <w:rPr>
          <w:rFonts w:hint="cs"/>
          <w:rtl/>
        </w:rPr>
        <w:br/>
      </w:r>
      <w:r>
        <w:rPr>
          <w:rFonts w:hint="cs"/>
          <w:rtl/>
        </w:rPr>
        <w:tab/>
      </w:r>
    </w:p>
    <w:p w14:paraId="45F27DB0" w14:textId="6E4F520B" w:rsidR="00CB6F0B" w:rsidRDefault="00CB6F0B" w:rsidP="00CB6F0B">
      <w:pPr>
        <w:bidi/>
        <w:jc w:val="center"/>
        <w:rPr>
          <w:rtl/>
        </w:rPr>
      </w:pPr>
      <w:r>
        <w:rPr>
          <w:rFonts w:hint="cs"/>
          <w:rtl/>
        </w:rPr>
        <w:t>(اسم الشركة) (العنوان)</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pPr>
        <w:bidi/>
        <w:rPr>
          <w:rtl/>
        </w:rPr>
      </w:pPr>
      <w:r>
        <w:rPr>
          <w:rFonts w:hint="cs"/>
          <w:rtl/>
        </w:rPr>
        <w:t>الشخص الخاضع للتوجيه،</w:t>
      </w:r>
      <w:r>
        <w:t xml:space="preserve"> </w:t>
      </w:r>
    </w:p>
    <w:p w14:paraId="73978065" w14:textId="77777777" w:rsidR="00CB6F0B" w:rsidRDefault="00CB6F0B" w:rsidP="0048638B"/>
    <w:p w14:paraId="3C294579" w14:textId="492F5FE0" w:rsidR="00CB6F0B" w:rsidRDefault="00CB6F0B" w:rsidP="00CB6F0B">
      <w:pPr>
        <w:tabs>
          <w:tab w:val="left" w:leader="dot" w:pos="8505"/>
        </w:tabs>
        <w:bidi/>
        <w:rPr>
          <w:rtl/>
        </w:rPr>
      </w:pPr>
      <w:r>
        <w:rPr>
          <w:rFonts w:hint="cs"/>
          <w:rtl/>
        </w:rPr>
        <w:tab/>
      </w:r>
    </w:p>
    <w:p w14:paraId="5E775D4F" w14:textId="397DE825" w:rsidR="0048638B" w:rsidRDefault="0048638B" w:rsidP="00CB6F0B">
      <w:pPr>
        <w:bidi/>
        <w:jc w:val="center"/>
        <w:rPr>
          <w:rtl/>
        </w:rPr>
      </w:pPr>
      <w:r>
        <w:rPr>
          <w:rFonts w:hint="cs"/>
          <w:rtl/>
        </w:rPr>
        <w:t>(الاسم وتاريخ الميلاد)</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bidi/>
        <w:ind w:left="284" w:hanging="284"/>
        <w:rPr>
          <w:b/>
          <w:bCs/>
          <w:rtl/>
        </w:rPr>
      </w:pPr>
      <w:r>
        <w:rPr>
          <w:rFonts w:hint="cs"/>
          <w:b/>
          <w:bCs/>
          <w:rtl/>
        </w:rPr>
        <w:t>الإبلاغ إلى المشرف</w:t>
      </w:r>
      <w:r>
        <w:rPr>
          <w:rFonts w:hint="cs"/>
          <w:b/>
          <w:bCs/>
          <w:rtl/>
        </w:rPr>
        <w:br/>
      </w:r>
      <w:r>
        <w:rPr>
          <w:rFonts w:hint="cs"/>
          <w:b/>
          <w:bCs/>
          <w:rtl/>
        </w:rPr>
        <w:br/>
      </w:r>
      <w:r>
        <w:rPr>
          <w:rFonts w:hint="cs"/>
          <w:rtl/>
        </w:rPr>
        <w:t>يجب عليك إبلاغ المقاول أو ممثله فورًا إذا:</w:t>
      </w:r>
      <w:r>
        <w:t xml:space="preserve"> </w:t>
      </w:r>
      <w:r>
        <w:rPr>
          <w:rFonts w:hint="cs"/>
          <w:rtl/>
        </w:rPr>
        <w:br/>
      </w:r>
    </w:p>
    <w:p w14:paraId="67F64F80" w14:textId="77777777" w:rsidR="0048638B" w:rsidRDefault="0048638B" w:rsidP="0048638B">
      <w:pPr>
        <w:pStyle w:val="Listenabsatz"/>
        <w:numPr>
          <w:ilvl w:val="1"/>
          <w:numId w:val="1"/>
        </w:numPr>
        <w:tabs>
          <w:tab w:val="left" w:pos="851"/>
        </w:tabs>
        <w:bidi/>
        <w:ind w:left="851" w:hanging="567"/>
        <w:rPr>
          <w:rtl/>
        </w:rPr>
      </w:pPr>
      <w:r>
        <w:rPr>
          <w:rFonts w:hint="cs"/>
          <w:rtl/>
        </w:rPr>
        <w:t>لاحظت حاليًا أو سابقًا علامات المرض التالية:</w:t>
      </w:r>
    </w:p>
    <w:p w14:paraId="333217F2" w14:textId="77777777" w:rsidR="0048638B" w:rsidRDefault="0048638B" w:rsidP="0048638B">
      <w:pPr>
        <w:pStyle w:val="Listenabsatz"/>
        <w:numPr>
          <w:ilvl w:val="0"/>
          <w:numId w:val="5"/>
        </w:numPr>
        <w:tabs>
          <w:tab w:val="left" w:pos="851"/>
        </w:tabs>
        <w:bidi/>
        <w:ind w:left="1276"/>
        <w:rPr>
          <w:rtl/>
        </w:rPr>
      </w:pPr>
      <w:r>
        <w:rPr>
          <w:rFonts w:hint="cs"/>
          <w:rtl/>
        </w:rPr>
        <w:t>الإسهال (ربما يكون مصحوبًا بالغثيان أو القيء أو الحمى أو المغص - الاشتباه في الإصابة بالتسمم الغذائي البكتيري أو الفيروسي)؛</w:t>
      </w:r>
      <w:r>
        <w:t xml:space="preserve"> </w:t>
      </w:r>
    </w:p>
    <w:p w14:paraId="6F15CBF0" w14:textId="77777777" w:rsidR="0048638B" w:rsidRDefault="0048638B" w:rsidP="0048638B">
      <w:pPr>
        <w:pStyle w:val="Listenabsatz"/>
        <w:numPr>
          <w:ilvl w:val="0"/>
          <w:numId w:val="5"/>
        </w:numPr>
        <w:tabs>
          <w:tab w:val="left" w:pos="851"/>
        </w:tabs>
        <w:bidi/>
        <w:ind w:left="1276"/>
        <w:rPr>
          <w:rtl/>
        </w:rPr>
      </w:pPr>
      <w:r>
        <w:rPr>
          <w:rFonts w:hint="cs"/>
          <w:rtl/>
        </w:rPr>
        <w:t>القيء و/أو الإسهال (دليل على الإصابة بفيروس نوروفيروس - التهاب المعدة والأمعاء)؛</w:t>
      </w:r>
    </w:p>
    <w:p w14:paraId="190F1FA2" w14:textId="77777777" w:rsidR="0048638B" w:rsidRDefault="0048638B" w:rsidP="0048638B">
      <w:pPr>
        <w:pStyle w:val="Listenabsatz"/>
        <w:numPr>
          <w:ilvl w:val="0"/>
          <w:numId w:val="5"/>
        </w:numPr>
        <w:tabs>
          <w:tab w:val="left" w:pos="851"/>
        </w:tabs>
        <w:bidi/>
        <w:ind w:left="1276"/>
        <w:rPr>
          <w:rtl/>
        </w:rPr>
      </w:pPr>
      <w:r>
        <w:rPr>
          <w:rFonts w:hint="cs"/>
          <w:rtl/>
        </w:rPr>
        <w:t>حمى مصحوبة بألم شديد في البطن أو المفاصل، أو إسهال يشبه "حبوب البازلاء" بعد إمساك يستمر لعدة أيام (اشتباه في الإصابة بالتيفوئيد أو الحمى نظيرة التيفوئيد)؛</w:t>
      </w:r>
    </w:p>
    <w:p w14:paraId="23A3C442" w14:textId="77777777" w:rsidR="0048638B" w:rsidRDefault="0048638B" w:rsidP="0048638B">
      <w:pPr>
        <w:pStyle w:val="Listenabsatz"/>
        <w:numPr>
          <w:ilvl w:val="0"/>
          <w:numId w:val="5"/>
        </w:numPr>
        <w:tabs>
          <w:tab w:val="left" w:pos="851"/>
        </w:tabs>
        <w:bidi/>
        <w:ind w:left="1276"/>
        <w:rPr>
          <w:rtl/>
        </w:rPr>
      </w:pPr>
      <w:r>
        <w:rPr>
          <w:rFonts w:hint="cs"/>
          <w:rtl/>
        </w:rPr>
        <w:t xml:space="preserve">إسهال "يُشبه ماء الأرز" (سائل معكر قليلاً، عديم اللون تقريبًا مع رقائق مخاطية صغيرة) مع فقد كبير للسوائل (يشتبه في الإصابة بالكوليرا)؛ </w:t>
      </w:r>
      <w:r>
        <w:rPr>
          <w:rFonts w:hint="cs"/>
          <w:rtl/>
        </w:rPr>
        <w:sym w:font="Symbol" w:char="F0B7"/>
      </w:r>
      <w:r>
        <w:rPr>
          <w:rFonts w:hint="cs"/>
          <w:rtl/>
        </w:rPr>
        <w:t xml:space="preserve">اصفرار العينين و/أو الجلد مصحوب بالضعف وانخفاض الشهية (يشتبه في الإصابة بالتهاب الكبد الوبائي </w:t>
      </w:r>
      <w:r>
        <w:t>A</w:t>
      </w:r>
      <w:r>
        <w:rPr>
          <w:rFonts w:hint="cs"/>
          <w:rtl/>
        </w:rPr>
        <w:t xml:space="preserve"> أو </w:t>
      </w:r>
      <w:r>
        <w:t>E)</w:t>
      </w:r>
      <w:r>
        <w:rPr>
          <w:rFonts w:hint="cs"/>
          <w:rtl/>
        </w:rPr>
        <w:t>؛</w:t>
      </w:r>
      <w:r>
        <w:t xml:space="preserve"> </w:t>
      </w:r>
    </w:p>
    <w:p w14:paraId="7D01EFA5" w14:textId="77777777" w:rsidR="0048638B" w:rsidRDefault="0048638B" w:rsidP="0048638B">
      <w:pPr>
        <w:pStyle w:val="Listenabsatz"/>
        <w:numPr>
          <w:ilvl w:val="0"/>
          <w:numId w:val="5"/>
        </w:numPr>
        <w:tabs>
          <w:tab w:val="left" w:pos="851"/>
        </w:tabs>
        <w:bidi/>
        <w:ind w:left="1276"/>
        <w:rPr>
          <w:rtl/>
        </w:rPr>
      </w:pPr>
      <w:r>
        <w:rPr>
          <w:rFonts w:hint="cs"/>
          <w:rtl/>
        </w:rPr>
        <w:t>الجروح المصابة بعدوى أو المناطق المكشوفة الناجمة عن الأمراض الجلدية (المحمرة، أو الدهنية، أو المتقيحة، أو المتورمة)؛</w:t>
      </w:r>
      <w:r>
        <w:t xml:space="preserve">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bidi/>
        <w:ind w:left="851" w:hanging="567"/>
        <w:rPr>
          <w:rtl/>
        </w:rPr>
      </w:pPr>
      <w:r>
        <w:rPr>
          <w:rFonts w:hint="cs"/>
          <w:rtl/>
        </w:rPr>
        <w:t>وجود تشخيص طبي أو نتيجة تحاليل تؤكد إفراز مسببات الأمراض التالية، حتى في حالة عدم وجود أعراض للمرض:</w:t>
      </w:r>
      <w:r>
        <w:t xml:space="preserve"> </w:t>
      </w:r>
    </w:p>
    <w:p w14:paraId="7C6B31E5" w14:textId="77777777" w:rsidR="0048638B" w:rsidRDefault="0048638B" w:rsidP="0048638B">
      <w:pPr>
        <w:pStyle w:val="Listenabsatz"/>
        <w:numPr>
          <w:ilvl w:val="0"/>
          <w:numId w:val="5"/>
        </w:numPr>
        <w:tabs>
          <w:tab w:val="left" w:pos="851"/>
        </w:tabs>
        <w:bidi/>
        <w:ind w:left="1276"/>
        <w:rPr>
          <w:rtl/>
        </w:rPr>
      </w:pPr>
      <w:r>
        <w:rPr>
          <w:rFonts w:hint="cs"/>
          <w:rtl/>
        </w:rPr>
        <w:t>داء العطائف</w:t>
      </w:r>
    </w:p>
    <w:p w14:paraId="0CCB1D97" w14:textId="77777777" w:rsidR="0048638B" w:rsidRDefault="0048638B" w:rsidP="0048638B">
      <w:pPr>
        <w:pStyle w:val="Listenabsatz"/>
        <w:numPr>
          <w:ilvl w:val="0"/>
          <w:numId w:val="5"/>
        </w:numPr>
        <w:tabs>
          <w:tab w:val="left" w:pos="851"/>
        </w:tabs>
        <w:bidi/>
        <w:ind w:left="1276"/>
        <w:rPr>
          <w:rtl/>
        </w:rPr>
      </w:pPr>
      <w:r>
        <w:rPr>
          <w:rFonts w:hint="cs"/>
          <w:rtl/>
        </w:rPr>
        <w:t>الفيروس المعوي</w:t>
      </w:r>
    </w:p>
    <w:p w14:paraId="17448CD8" w14:textId="77777777" w:rsidR="0048638B" w:rsidRDefault="0048638B" w:rsidP="0048638B">
      <w:pPr>
        <w:pStyle w:val="Listenabsatz"/>
        <w:numPr>
          <w:ilvl w:val="0"/>
          <w:numId w:val="5"/>
        </w:numPr>
        <w:tabs>
          <w:tab w:val="left" w:pos="851"/>
        </w:tabs>
        <w:bidi/>
        <w:ind w:left="1276"/>
        <w:rPr>
          <w:rtl/>
        </w:rPr>
      </w:pPr>
      <w:r>
        <w:rPr>
          <w:rFonts w:hint="cs"/>
          <w:rtl/>
        </w:rPr>
        <w:t>مسببات الزحار الأميبي</w:t>
      </w:r>
    </w:p>
    <w:p w14:paraId="382D0801" w14:textId="77777777" w:rsidR="0048638B" w:rsidRPr="00CB6F0B" w:rsidRDefault="0048638B" w:rsidP="0048638B">
      <w:pPr>
        <w:pStyle w:val="Listenabsatz"/>
        <w:numPr>
          <w:ilvl w:val="0"/>
          <w:numId w:val="5"/>
        </w:numPr>
        <w:tabs>
          <w:tab w:val="left" w:pos="851"/>
        </w:tabs>
        <w:bidi/>
        <w:ind w:left="1276"/>
        <w:rPr>
          <w:i/>
          <w:iCs/>
          <w:rtl/>
        </w:rPr>
      </w:pPr>
      <w:r>
        <w:rPr>
          <w:rFonts w:hint="cs"/>
          <w:i/>
          <w:iCs/>
          <w:rtl/>
        </w:rPr>
        <w:t>الإشريكية القولونية التي تفرز سموم</w:t>
      </w:r>
    </w:p>
    <w:p w14:paraId="24AB1DEC" w14:textId="77777777" w:rsidR="0048638B" w:rsidRDefault="0048638B" w:rsidP="0048638B">
      <w:pPr>
        <w:pStyle w:val="Listenabsatz"/>
        <w:numPr>
          <w:ilvl w:val="0"/>
          <w:numId w:val="5"/>
        </w:numPr>
        <w:tabs>
          <w:tab w:val="left" w:pos="851"/>
        </w:tabs>
        <w:bidi/>
        <w:ind w:left="1276"/>
        <w:rPr>
          <w:rtl/>
        </w:rPr>
      </w:pPr>
      <w:r>
        <w:rPr>
          <w:rFonts w:hint="cs"/>
          <w:rtl/>
        </w:rPr>
        <w:t xml:space="preserve">فيروسات التهاب الكبد </w:t>
      </w:r>
      <w:r>
        <w:t>A</w:t>
      </w:r>
      <w:r>
        <w:rPr>
          <w:rFonts w:hint="cs"/>
          <w:rtl/>
        </w:rPr>
        <w:t xml:space="preserve"> أو </w:t>
      </w:r>
      <w:r>
        <w:t>E</w:t>
      </w:r>
    </w:p>
    <w:p w14:paraId="548B5646" w14:textId="77777777" w:rsidR="0048638B" w:rsidRPr="00CB6F0B" w:rsidRDefault="0048638B" w:rsidP="0048638B">
      <w:pPr>
        <w:pStyle w:val="Listenabsatz"/>
        <w:numPr>
          <w:ilvl w:val="0"/>
          <w:numId w:val="5"/>
        </w:numPr>
        <w:tabs>
          <w:tab w:val="left" w:pos="851"/>
        </w:tabs>
        <w:bidi/>
        <w:ind w:left="1276"/>
        <w:rPr>
          <w:i/>
          <w:iCs/>
          <w:rtl/>
        </w:rPr>
      </w:pPr>
      <w:r>
        <w:rPr>
          <w:rFonts w:hint="cs"/>
          <w:i/>
          <w:iCs/>
          <w:rtl/>
        </w:rPr>
        <w:t>الليستيريا المستوحدة</w:t>
      </w:r>
    </w:p>
    <w:p w14:paraId="42E4EDFD" w14:textId="52C1168F" w:rsidR="00E736C4" w:rsidRPr="0048638B" w:rsidRDefault="0048638B" w:rsidP="0048638B">
      <w:pPr>
        <w:pStyle w:val="Listenabsatz"/>
        <w:numPr>
          <w:ilvl w:val="0"/>
          <w:numId w:val="5"/>
        </w:numPr>
        <w:tabs>
          <w:tab w:val="left" w:pos="851"/>
        </w:tabs>
        <w:bidi/>
        <w:ind w:left="1276"/>
        <w:rPr>
          <w:rtl/>
        </w:rPr>
      </w:pPr>
      <w:r>
        <w:rPr>
          <w:rFonts w:hint="cs"/>
          <w:rtl/>
        </w:rPr>
        <w:t>فيروسات نوروفيروس</w:t>
      </w:r>
    </w:p>
    <w:p w14:paraId="299C1EE9" w14:textId="77777777" w:rsidR="0048638B" w:rsidRDefault="0048638B" w:rsidP="0048638B">
      <w:pPr>
        <w:pStyle w:val="Listenabsatz"/>
        <w:numPr>
          <w:ilvl w:val="0"/>
          <w:numId w:val="5"/>
        </w:numPr>
        <w:tabs>
          <w:tab w:val="left" w:pos="851"/>
        </w:tabs>
        <w:bidi/>
        <w:ind w:left="1276"/>
        <w:rPr>
          <w:rtl/>
        </w:rPr>
      </w:pPr>
      <w:r>
        <w:rPr>
          <w:rFonts w:hint="cs"/>
          <w:rtl/>
        </w:rPr>
        <w:t>الفيروس العجلي</w:t>
      </w:r>
      <w:r>
        <w:t xml:space="preserve"> </w:t>
      </w:r>
    </w:p>
    <w:p w14:paraId="5E3F7F57" w14:textId="77777777" w:rsidR="0048638B" w:rsidRDefault="0048638B" w:rsidP="0048638B">
      <w:pPr>
        <w:pStyle w:val="Listenabsatz"/>
        <w:numPr>
          <w:ilvl w:val="0"/>
          <w:numId w:val="5"/>
        </w:numPr>
        <w:tabs>
          <w:tab w:val="left" w:pos="851"/>
        </w:tabs>
        <w:bidi/>
        <w:ind w:left="1276"/>
        <w:rPr>
          <w:rtl/>
        </w:rPr>
      </w:pPr>
      <w:r>
        <w:rPr>
          <w:rFonts w:hint="cs"/>
          <w:rtl/>
        </w:rPr>
        <w:t>السالمونيلا</w:t>
      </w:r>
    </w:p>
    <w:p w14:paraId="194802A5" w14:textId="77777777" w:rsidR="0048638B" w:rsidRDefault="0048638B" w:rsidP="0048638B">
      <w:pPr>
        <w:pStyle w:val="Listenabsatz"/>
        <w:numPr>
          <w:ilvl w:val="0"/>
          <w:numId w:val="5"/>
        </w:numPr>
        <w:tabs>
          <w:tab w:val="left" w:pos="851"/>
        </w:tabs>
        <w:bidi/>
        <w:ind w:left="1276"/>
        <w:rPr>
          <w:rtl/>
        </w:rPr>
      </w:pPr>
      <w:r>
        <w:rPr>
          <w:rFonts w:hint="cs"/>
          <w:rtl/>
        </w:rPr>
        <w:t>بكتيريا الشيغيلا</w:t>
      </w:r>
    </w:p>
    <w:p w14:paraId="4C0A525B" w14:textId="77777777" w:rsidR="0048638B" w:rsidRPr="00CB6F0B" w:rsidRDefault="0048638B" w:rsidP="0048638B">
      <w:pPr>
        <w:pStyle w:val="Listenabsatz"/>
        <w:numPr>
          <w:ilvl w:val="0"/>
          <w:numId w:val="5"/>
        </w:numPr>
        <w:tabs>
          <w:tab w:val="left" w:pos="851"/>
        </w:tabs>
        <w:bidi/>
        <w:ind w:left="1276"/>
        <w:rPr>
          <w:i/>
          <w:iCs/>
          <w:rtl/>
        </w:rPr>
      </w:pPr>
      <w:r>
        <w:rPr>
          <w:rFonts w:hint="cs"/>
          <w:i/>
          <w:iCs/>
          <w:rtl/>
        </w:rPr>
        <w:t>المكورات العنقودية الذهبية المفرزة للسموم</w:t>
      </w:r>
      <w:r>
        <w:rPr>
          <w:i/>
          <w:iCs/>
        </w:rPr>
        <w:t xml:space="preserve"> </w:t>
      </w:r>
    </w:p>
    <w:p w14:paraId="213B4BAE" w14:textId="77777777" w:rsidR="0048638B" w:rsidRDefault="0048638B" w:rsidP="0048638B">
      <w:pPr>
        <w:pStyle w:val="Listenabsatz"/>
        <w:numPr>
          <w:ilvl w:val="0"/>
          <w:numId w:val="5"/>
        </w:numPr>
        <w:tabs>
          <w:tab w:val="left" w:pos="851"/>
        </w:tabs>
        <w:bidi/>
        <w:ind w:left="1276"/>
        <w:rPr>
          <w:rtl/>
        </w:rPr>
      </w:pPr>
      <w:r>
        <w:rPr>
          <w:rFonts w:hint="cs"/>
          <w:i/>
          <w:iCs/>
          <w:rtl/>
        </w:rPr>
        <w:t>ضمة الكوليرا أو ضمة نظيرة الدم</w:t>
      </w:r>
      <w:r>
        <w:t xml:space="preserve"> </w:t>
      </w:r>
    </w:p>
    <w:p w14:paraId="3AD0D4F7" w14:textId="77777777" w:rsidR="0048638B" w:rsidRDefault="0048638B" w:rsidP="0048638B">
      <w:pPr>
        <w:pStyle w:val="Listenabsatz"/>
        <w:numPr>
          <w:ilvl w:val="0"/>
          <w:numId w:val="5"/>
        </w:numPr>
        <w:tabs>
          <w:tab w:val="left" w:pos="851"/>
        </w:tabs>
        <w:bidi/>
        <w:ind w:left="1276"/>
        <w:rPr>
          <w:rtl/>
        </w:rPr>
      </w:pPr>
      <w:r>
        <w:rPr>
          <w:rFonts w:hint="cs"/>
          <w:rtl/>
        </w:rPr>
        <w:t>اليرسينيا المسببة للمرض</w:t>
      </w:r>
      <w:r>
        <w:t xml:space="preserve">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bidi/>
        <w:rPr>
          <w:rtl/>
        </w:rPr>
      </w:pPr>
      <w:r>
        <w:rPr>
          <w:rFonts w:hint="cs"/>
          <w:rtl/>
        </w:rPr>
        <w:lastRenderedPageBreak/>
        <w:t>ملاحظة: حتى بعد اختفاء أعراض المرض، قد يزال من الممكن إفراز بعض مسببات الأمراض.</w:t>
      </w:r>
      <w:r>
        <w:t xml:space="preserve"> </w:t>
      </w:r>
      <w:r>
        <w:rPr>
          <w:rFonts w:hint="cs"/>
          <w:rtl/>
        </w:rPr>
        <w:br/>
      </w:r>
      <w:r>
        <w:rPr>
          <w:rFonts w:hint="cs"/>
          <w:rtl/>
        </w:rPr>
        <w:br/>
        <w:t>ويعد الإبلاغ عن هذه الأمراض مُلزمًا، لأن مسببات الأمراض المذكورة أعلاه قد تنتقل إلى الطعام وبالتالي تنقل المرض إلى من يتناولوه.</w:t>
      </w:r>
      <w:r>
        <w:t xml:space="preserve">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bidi/>
        <w:ind w:left="284" w:hanging="284"/>
        <w:rPr>
          <w:b/>
          <w:bCs/>
          <w:rtl/>
        </w:rPr>
      </w:pPr>
      <w:r>
        <w:rPr>
          <w:rFonts w:hint="cs"/>
          <w:b/>
          <w:bCs/>
          <w:rtl/>
        </w:rPr>
        <w:t>إعلان للشخص الخاضع للتوجيه</w:t>
      </w:r>
      <w:r>
        <w:rPr>
          <w:rFonts w:hint="cs"/>
          <w:rtl/>
        </w:rPr>
        <w:br/>
        <w:t xml:space="preserve">أقر أنه في حالة إصابتي بمرض مصحوب بأعراض تشبه الأعراض الموضحة في الفقرة </w:t>
      </w:r>
      <w:r>
        <w:t>1a</w:t>
      </w:r>
      <w:r>
        <w:rPr>
          <w:rFonts w:hint="cs"/>
          <w:rtl/>
        </w:rPr>
        <w:t xml:space="preserve"> أو في حالة وجود تشخيص طبي وفقًا للفقرة </w:t>
      </w:r>
      <w:r>
        <w:t>1b</w:t>
      </w:r>
      <w:r>
        <w:rPr>
          <w:rFonts w:hint="cs"/>
          <w:rtl/>
        </w:rPr>
        <w:t>، فإنني سأبلغ مشرفي أو رب العمل على الفور.</w:t>
      </w:r>
      <w:r>
        <w:rPr>
          <w:rFonts w:hint="cs"/>
          <w:rtl/>
        </w:rPr>
        <w:br/>
      </w:r>
      <w:r>
        <w:rPr>
          <w:rFonts w:hint="cs"/>
          <w:rtl/>
        </w:rPr>
        <w:br/>
      </w:r>
    </w:p>
    <w:p w14:paraId="1D9AB9A5" w14:textId="11A450F4" w:rsidR="00CB6F0B" w:rsidRDefault="00CB6F0B" w:rsidP="00CB6F0B">
      <w:pPr>
        <w:pStyle w:val="Listenabsatz"/>
        <w:tabs>
          <w:tab w:val="left" w:leader="dot" w:pos="3402"/>
          <w:tab w:val="left" w:pos="3969"/>
          <w:tab w:val="left" w:leader="dot" w:pos="8505"/>
        </w:tabs>
        <w:bidi/>
        <w:ind w:left="0"/>
        <w:rPr>
          <w:rtl/>
        </w:rPr>
      </w:pPr>
      <w:r>
        <w:rPr>
          <w:rFonts w:hint="cs"/>
          <w:rtl/>
        </w:rPr>
        <w:br/>
      </w:r>
      <w:r>
        <w:rPr>
          <w:rFonts w:hint="cs"/>
          <w:rtl/>
        </w:rPr>
        <w:br/>
      </w:r>
      <w:r>
        <w:rPr>
          <w:rFonts w:hint="cs"/>
          <w:rtl/>
        </w:rPr>
        <w:tab/>
      </w:r>
      <w:r>
        <w:rPr>
          <w:rFonts w:hint="cs"/>
          <w:rtl/>
        </w:rPr>
        <w:tab/>
      </w:r>
      <w:r>
        <w:rPr>
          <w:rFonts w:hint="cs"/>
          <w:rtl/>
        </w:rPr>
        <w:tab/>
      </w:r>
    </w:p>
    <w:p w14:paraId="0677EE99" w14:textId="7011ADE8" w:rsidR="00CB6F0B" w:rsidRDefault="00CB6F0B" w:rsidP="00CB6F0B">
      <w:pPr>
        <w:pStyle w:val="Listenabsatz"/>
        <w:tabs>
          <w:tab w:val="center" w:pos="1701"/>
          <w:tab w:val="center" w:pos="6237"/>
        </w:tabs>
        <w:bidi/>
        <w:rPr>
          <w:rtl/>
        </w:rPr>
      </w:pPr>
      <w:r>
        <w:rPr>
          <w:rFonts w:hint="cs"/>
          <w:rtl/>
        </w:rPr>
        <w:tab/>
        <w:t>التاريخ</w:t>
      </w:r>
      <w:r>
        <w:rPr>
          <w:rFonts w:hint="cs"/>
          <w:rtl/>
        </w:rPr>
        <w:tab/>
        <w:t>التوقيع</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bidi/>
        <w:ind w:left="0"/>
        <w:rPr>
          <w:i/>
          <w:iCs/>
          <w:rtl/>
        </w:rPr>
      </w:pPr>
      <w:r>
        <w:rPr>
          <w:rFonts w:hint="cs"/>
          <w:i/>
          <w:iCs/>
          <w:rtl/>
        </w:rPr>
        <w:t>سيتم إرسال نسخة من هذا التوجيه إلى الموظف، بما في ذلك الدليل الإرشادي، لضمان التزام من يتعاملون مع الأغذية للمتطلبات الصحية.</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B5BB6"/>
    <w:rsid w:val="001C5380"/>
    <w:rsid w:val="001E2D12"/>
    <w:rsid w:val="001F25D1"/>
    <w:rsid w:val="00200EC8"/>
    <w:rsid w:val="0020107C"/>
    <w:rsid w:val="00207605"/>
    <w:rsid w:val="00213287"/>
    <w:rsid w:val="00220E0E"/>
    <w:rsid w:val="00226ADD"/>
    <w:rsid w:val="002272DC"/>
    <w:rsid w:val="0023020C"/>
    <w:rsid w:val="00240497"/>
    <w:rsid w:val="00244118"/>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F0DCC"/>
    <w:rsid w:val="007F47AD"/>
    <w:rsid w:val="008042C9"/>
    <w:rsid w:val="00813C58"/>
    <w:rsid w:val="00813D37"/>
    <w:rsid w:val="00822213"/>
    <w:rsid w:val="00831F79"/>
    <w:rsid w:val="00835A38"/>
    <w:rsid w:val="008401B3"/>
    <w:rsid w:val="00841B66"/>
    <w:rsid w:val="008505B4"/>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A1A9D"/>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en-US" w:bidi="ar-EG"/>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de-DE"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de-DE"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de-DE"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de-DE"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de-DE"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de-DE"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de-DE"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de-DE"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5</cp:revision>
  <dcterms:created xsi:type="dcterms:W3CDTF">2025-02-04T14:22:00Z</dcterms:created>
  <dcterms:modified xsi:type="dcterms:W3CDTF">2025-02-19T13:22:00Z</dcterms:modified>
</cp:coreProperties>
</file>